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1447"/>
        <w:gridCol w:w="963"/>
        <w:gridCol w:w="1134"/>
        <w:gridCol w:w="283"/>
        <w:gridCol w:w="992"/>
        <w:gridCol w:w="142"/>
        <w:gridCol w:w="851"/>
        <w:gridCol w:w="683"/>
        <w:gridCol w:w="734"/>
        <w:gridCol w:w="4898"/>
      </w:tblGrid>
      <w:tr w:rsidR="008955A2" w:rsidTr="008955A2">
        <w:trPr>
          <w:trHeight w:val="645"/>
        </w:trPr>
        <w:tc>
          <w:tcPr>
            <w:tcW w:w="9173" w:type="dxa"/>
            <w:gridSpan w:val="9"/>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073A5F" w:rsidRPr="00073A5F">
              <w:rPr>
                <w:rFonts w:ascii="Times New Roman" w:hAnsi="Times New Roman" w:cs="Times New Roman"/>
                <w:color w:val="000000" w:themeColor="text1"/>
                <w:sz w:val="24"/>
                <w:szCs w:val="24"/>
                <w:shd w:val="clear" w:color="auto" w:fill="F2F2F2"/>
              </w:rPr>
              <w:t>170321/2648687/01</w:t>
            </w:r>
            <w:bookmarkStart w:id="0" w:name="_GoBack"/>
            <w:bookmarkEnd w:id="0"/>
          </w:p>
        </w:tc>
      </w:tr>
      <w:tr w:rsidR="008955A2"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6820AE">
        <w:trPr>
          <w:trHeight w:val="934"/>
        </w:trPr>
        <w:tc>
          <w:tcPr>
            <w:tcW w:w="2678"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2B6222" w:rsidTr="006820AE">
        <w:trPr>
          <w:trHeight w:val="3818"/>
        </w:trPr>
        <w:tc>
          <w:tcPr>
            <w:tcW w:w="2678" w:type="dxa"/>
            <w:tcBorders>
              <w:top w:val="single" w:sz="4" w:space="0" w:color="auto"/>
              <w:left w:val="single" w:sz="4" w:space="0" w:color="auto"/>
              <w:bottom w:val="single" w:sz="4" w:space="0" w:color="auto"/>
              <w:right w:val="single" w:sz="4" w:space="0" w:color="auto"/>
            </w:tcBorders>
            <w:vAlign w:val="center"/>
            <w:hideMark/>
          </w:tcPr>
          <w:p w:rsidR="002B6222" w:rsidRPr="00185CDB" w:rsidRDefault="002B6222" w:rsidP="002B6222">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2B6222" w:rsidRDefault="00151A29"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обл. Волгоградская</w:t>
            </w:r>
            <w:r w:rsidR="002B6222">
              <w:rPr>
                <w:rFonts w:ascii="Times New Roman" w:hAnsi="Times New Roman" w:cs="Times New Roman"/>
                <w:sz w:val="18"/>
              </w:rPr>
              <w:t xml:space="preserve">, р-н </w:t>
            </w:r>
            <w:proofErr w:type="spellStart"/>
            <w:r w:rsidR="002B6222">
              <w:rPr>
                <w:rFonts w:ascii="Times New Roman" w:hAnsi="Times New Roman" w:cs="Times New Roman"/>
                <w:sz w:val="18"/>
              </w:rPr>
              <w:t>Котельниковский</w:t>
            </w:r>
            <w:proofErr w:type="spellEnd"/>
            <w:r w:rsidR="002B6222">
              <w:rPr>
                <w:rFonts w:ascii="Times New Roman" w:hAnsi="Times New Roman" w:cs="Times New Roman"/>
                <w:sz w:val="18"/>
              </w:rPr>
              <w:t xml:space="preserve">, г. Котельниково, </w:t>
            </w:r>
            <w:r w:rsidR="00807717">
              <w:rPr>
                <w:rFonts w:ascii="Times New Roman" w:hAnsi="Times New Roman" w:cs="Times New Roman"/>
                <w:sz w:val="18"/>
              </w:rPr>
              <w:t>ул. Петрова, д.19, приблизительно 35 на запад</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2B6222" w:rsidRPr="00185CDB" w:rsidRDefault="000F62C3"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34:13:130025:948</w:t>
            </w:r>
            <w:r w:rsidR="002B6222" w:rsidRPr="00185CDB">
              <w:rPr>
                <w:rFonts w:ascii="Times New Roman" w:hAnsi="Times New Roman" w:cs="Times New Roman"/>
                <w:sz w:val="18"/>
              </w:rPr>
              <w:t>;</w:t>
            </w:r>
          </w:p>
          <w:p w:rsidR="002B6222" w:rsidRPr="00185CDB" w:rsidRDefault="00217F95"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Площадь </w:t>
            </w:r>
            <w:r w:rsidR="000F62C3">
              <w:rPr>
                <w:rFonts w:ascii="Times New Roman" w:hAnsi="Times New Roman" w:cs="Times New Roman"/>
                <w:sz w:val="18"/>
              </w:rPr>
              <w:t>1000</w:t>
            </w:r>
            <w:r w:rsidR="002B6222" w:rsidRPr="00185CDB">
              <w:rPr>
                <w:rFonts w:ascii="Times New Roman" w:hAnsi="Times New Roman" w:cs="Times New Roman"/>
                <w:sz w:val="18"/>
              </w:rPr>
              <w:t xml:space="preserve"> </w:t>
            </w:r>
            <w:proofErr w:type="spellStart"/>
            <w:r w:rsidR="002B6222" w:rsidRPr="00185CDB">
              <w:rPr>
                <w:rFonts w:ascii="Times New Roman" w:hAnsi="Times New Roman" w:cs="Times New Roman"/>
                <w:sz w:val="18"/>
              </w:rPr>
              <w:t>кв.м</w:t>
            </w:r>
            <w:proofErr w:type="spellEnd"/>
            <w:r w:rsidR="002B6222" w:rsidRPr="00185CDB">
              <w:rPr>
                <w:rFonts w:ascii="Times New Roman" w:hAnsi="Times New Roman" w:cs="Times New Roman"/>
                <w:sz w:val="18"/>
              </w:rPr>
              <w:t>.;</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B6222" w:rsidRPr="00185CDB" w:rsidRDefault="00C552B5" w:rsidP="00126960">
            <w:pPr>
              <w:spacing w:after="0" w:line="240" w:lineRule="auto"/>
              <w:ind w:right="-108"/>
              <w:jc w:val="center"/>
              <w:rPr>
                <w:rFonts w:ascii="Times New Roman" w:hAnsi="Times New Roman" w:cs="Times New Roman"/>
                <w:sz w:val="18"/>
              </w:rPr>
            </w:pPr>
            <w:r>
              <w:rPr>
                <w:rFonts w:ascii="Times New Roman" w:hAnsi="Times New Roman" w:cs="Times New Roman"/>
                <w:sz w:val="18"/>
              </w:rPr>
              <w:t>Для размещения объектов предпринимательской деятельности</w:t>
            </w:r>
          </w:p>
        </w:tc>
        <w:tc>
          <w:tcPr>
            <w:tcW w:w="1417" w:type="dxa"/>
            <w:gridSpan w:val="2"/>
            <w:tcBorders>
              <w:top w:val="single" w:sz="4" w:space="0" w:color="auto"/>
              <w:left w:val="nil"/>
              <w:bottom w:val="single" w:sz="4" w:space="0" w:color="auto"/>
              <w:right w:val="single" w:sz="4" w:space="0" w:color="auto"/>
            </w:tcBorders>
            <w:vAlign w:val="center"/>
            <w:hideMark/>
          </w:tcPr>
          <w:p w:rsidR="002B6222" w:rsidRPr="0066117E" w:rsidRDefault="00C552B5" w:rsidP="002B6222">
            <w:pPr>
              <w:jc w:val="center"/>
              <w:rPr>
                <w:rFonts w:cs="Times New Roman"/>
                <w:sz w:val="18"/>
              </w:rPr>
            </w:pPr>
            <w:r>
              <w:rPr>
                <w:rFonts w:eastAsia="Times New Roman" w:cs="Arial"/>
                <w:sz w:val="20"/>
                <w:szCs w:val="20"/>
                <w:bdr w:val="none" w:sz="0" w:space="0" w:color="auto" w:frame="1"/>
                <w:lang w:eastAsia="ru-RU"/>
              </w:rPr>
              <w:t>26315,6</w:t>
            </w:r>
          </w:p>
        </w:tc>
        <w:tc>
          <w:tcPr>
            <w:tcW w:w="1134" w:type="dxa"/>
            <w:gridSpan w:val="2"/>
            <w:tcBorders>
              <w:top w:val="single" w:sz="4" w:space="0" w:color="auto"/>
              <w:left w:val="nil"/>
              <w:bottom w:val="single" w:sz="4" w:space="0" w:color="auto"/>
              <w:right w:val="single" w:sz="4" w:space="0" w:color="auto"/>
            </w:tcBorders>
            <w:vAlign w:val="center"/>
            <w:hideMark/>
          </w:tcPr>
          <w:p w:rsidR="002B6222" w:rsidRPr="00955EE9" w:rsidRDefault="000F62C3" w:rsidP="002B6222">
            <w:pPr>
              <w:jc w:val="center"/>
              <w:rPr>
                <w:rFonts w:ascii="Times New Roman" w:hAnsi="Times New Roman" w:cs="Times New Roman"/>
                <w:sz w:val="18"/>
              </w:rPr>
            </w:pPr>
            <w:r>
              <w:rPr>
                <w:rFonts w:eastAsia="Times New Roman" w:cs="Arial"/>
                <w:sz w:val="20"/>
                <w:szCs w:val="20"/>
                <w:bdr w:val="none" w:sz="0" w:space="0" w:color="auto" w:frame="1"/>
                <w:lang w:eastAsia="ru-RU"/>
              </w:rPr>
              <w:t>26315,6</w:t>
            </w:r>
          </w:p>
        </w:tc>
        <w:tc>
          <w:tcPr>
            <w:tcW w:w="851" w:type="dxa"/>
            <w:tcBorders>
              <w:top w:val="single" w:sz="4" w:space="0" w:color="auto"/>
              <w:left w:val="nil"/>
              <w:bottom w:val="single" w:sz="4" w:space="0" w:color="auto"/>
              <w:right w:val="single" w:sz="4" w:space="0" w:color="auto"/>
            </w:tcBorders>
            <w:vAlign w:val="center"/>
            <w:hideMark/>
          </w:tcPr>
          <w:p w:rsidR="002B6222" w:rsidRPr="00185CDB" w:rsidRDefault="000F62C3" w:rsidP="002B6222">
            <w:pPr>
              <w:jc w:val="center"/>
              <w:rPr>
                <w:rFonts w:ascii="Times New Roman" w:hAnsi="Times New Roman" w:cs="Times New Roman"/>
                <w:sz w:val="18"/>
              </w:rPr>
            </w:pPr>
            <w:r>
              <w:rPr>
                <w:rFonts w:ascii="Times New Roman" w:hAnsi="Times New Roman" w:cs="Times New Roman"/>
                <w:sz w:val="18"/>
              </w:rPr>
              <w:t>5</w:t>
            </w:r>
            <w:r w:rsidR="00867697">
              <w:rPr>
                <w:rFonts w:ascii="Times New Roman" w:hAnsi="Times New Roman" w:cs="Times New Roman"/>
                <w:sz w:val="18"/>
              </w:rPr>
              <w:t xml:space="preserve"> лет</w:t>
            </w:r>
          </w:p>
        </w:tc>
        <w:tc>
          <w:tcPr>
            <w:tcW w:w="1417" w:type="dxa"/>
            <w:gridSpan w:val="2"/>
            <w:tcBorders>
              <w:top w:val="single" w:sz="4" w:space="0" w:color="auto"/>
              <w:left w:val="nil"/>
              <w:bottom w:val="single" w:sz="4" w:space="0" w:color="auto"/>
              <w:right w:val="single" w:sz="4" w:space="0" w:color="auto"/>
            </w:tcBorders>
          </w:tcPr>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2B6222" w:rsidRPr="008911BC" w:rsidRDefault="002B6222" w:rsidP="002B6222">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2B6222" w:rsidRPr="000E2454" w:rsidRDefault="002B6222" w:rsidP="000E2454">
            <w:pPr>
              <w:pStyle w:val="a6"/>
              <w:spacing w:before="115" w:after="115"/>
              <w:ind w:left="21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sidR="002F54FB" w:rsidRPr="002F54FB">
              <w:rPr>
                <w:sz w:val="18"/>
                <w:szCs w:val="18"/>
              </w:rPr>
              <w:t>30.07.2020 г. № 57/310</w:t>
            </w:r>
            <w:r w:rsidRPr="00691A44">
              <w:rPr>
                <w:sz w:val="18"/>
                <w:szCs w:val="18"/>
              </w:rPr>
              <w:t xml:space="preserve">, указанный земельный участок расположен </w:t>
            </w:r>
            <w:r w:rsidRPr="00185CDB">
              <w:rPr>
                <w:sz w:val="18"/>
                <w:szCs w:val="18"/>
              </w:rPr>
              <w:t>в зоне </w:t>
            </w:r>
            <w:r w:rsidR="000766E3" w:rsidRPr="000766E3">
              <w:rPr>
                <w:sz w:val="18"/>
                <w:szCs w:val="18"/>
              </w:rPr>
              <w:t>объектов коммерческого назначения деловой активности, торговли (Ц-2)</w:t>
            </w:r>
            <w:r w:rsidR="000766E3">
              <w:rPr>
                <w:sz w:val="18"/>
                <w:szCs w:val="18"/>
              </w:rPr>
              <w:t xml:space="preserve">. </w:t>
            </w:r>
            <w:r w:rsidR="008642EB" w:rsidRPr="008642EB">
              <w:rPr>
                <w:sz w:val="18"/>
                <w:szCs w:val="18"/>
              </w:rPr>
              <w:t>Цель выделения зоны объектов коммерческого назначения деловой активности, торговли (Ц-2) - развитие существующих и вновь осваиваемых территорий с преимущественным спектром объектов коммерческого назначения деловой активности, торговли, необходимых объектов коммунальной и транспортной инфраструктуры.</w:t>
            </w:r>
            <w:r>
              <w:rPr>
                <w:sz w:val="18"/>
                <w:szCs w:val="18"/>
              </w:rPr>
              <w:t xml:space="preserve">  </w:t>
            </w:r>
            <w:r w:rsidR="00FB2590">
              <w:rPr>
                <w:sz w:val="18"/>
                <w:szCs w:val="18"/>
              </w:rPr>
              <w:t>М</w:t>
            </w:r>
            <w:r w:rsidR="00FB2590" w:rsidRPr="00FB2590">
              <w:rPr>
                <w:sz w:val="18"/>
                <w:szCs w:val="18"/>
              </w:rPr>
              <w:t>инимальная и максимальная площадь земельных участков не подлежит установлению</w:t>
            </w:r>
            <w:r w:rsidR="00FB2590">
              <w:rPr>
                <w:sz w:val="18"/>
                <w:szCs w:val="18"/>
              </w:rPr>
              <w:t>.</w:t>
            </w:r>
            <w:r w:rsidR="00FB2590" w:rsidRPr="00FB2590">
              <w:rPr>
                <w:sz w:val="18"/>
                <w:szCs w:val="18"/>
              </w:rPr>
              <w:t xml:space="preserve"> </w:t>
            </w:r>
            <w:r w:rsidR="00FB2590">
              <w:rPr>
                <w:sz w:val="18"/>
                <w:szCs w:val="18"/>
              </w:rPr>
              <w:t>П</w:t>
            </w:r>
            <w:r w:rsidR="00FB2590" w:rsidRPr="00FB2590">
              <w:rPr>
                <w:sz w:val="18"/>
                <w:szCs w:val="18"/>
              </w:rPr>
              <w:t>редельные (минимальные и (или) максимальные) размеры земельных участков не подлежат установлению</w:t>
            </w:r>
            <w:r w:rsidR="00FB2590">
              <w:rPr>
                <w:sz w:val="18"/>
                <w:szCs w:val="18"/>
              </w:rPr>
              <w:t>.</w:t>
            </w:r>
            <w:r w:rsidR="00FB2590" w:rsidRPr="00FB2590">
              <w:rPr>
                <w:sz w:val="18"/>
                <w:szCs w:val="18"/>
              </w:rPr>
              <w:t xml:space="preserve"> </w:t>
            </w:r>
            <w:r w:rsidR="00C35710">
              <w:rPr>
                <w:sz w:val="18"/>
                <w:szCs w:val="18"/>
              </w:rPr>
              <w:t>П</w:t>
            </w:r>
            <w:r w:rsidR="00C35710" w:rsidRPr="00C35710">
              <w:rPr>
                <w:sz w:val="18"/>
                <w:szCs w:val="18"/>
              </w:rPr>
              <w:t>редельная высота здан</w:t>
            </w:r>
            <w:r w:rsidR="00C35710">
              <w:rPr>
                <w:sz w:val="18"/>
                <w:szCs w:val="18"/>
              </w:rPr>
              <w:t xml:space="preserve">ий, строений, сооружений - 25 м. </w:t>
            </w:r>
            <w:r w:rsidR="00C35710" w:rsidRPr="00C35710">
              <w:rPr>
                <w:sz w:val="18"/>
                <w:szCs w:val="18"/>
              </w:rPr>
              <w:t>предельное количество этажей надземной част</w:t>
            </w:r>
            <w:r w:rsidR="00C35710">
              <w:rPr>
                <w:sz w:val="18"/>
                <w:szCs w:val="18"/>
              </w:rPr>
              <w:t xml:space="preserve">и зданий, строений, </w:t>
            </w:r>
            <w:proofErr w:type="gramStart"/>
            <w:r w:rsidR="00C35710">
              <w:rPr>
                <w:sz w:val="18"/>
                <w:szCs w:val="18"/>
              </w:rPr>
              <w:t>сооружений:</w:t>
            </w:r>
            <w:r w:rsidR="00C35710" w:rsidRPr="00C35710">
              <w:rPr>
                <w:sz w:val="18"/>
                <w:szCs w:val="18"/>
              </w:rPr>
              <w:t>-</w:t>
            </w:r>
            <w:proofErr w:type="gramEnd"/>
            <w:r w:rsidR="00C35710" w:rsidRPr="00C35710">
              <w:rPr>
                <w:sz w:val="18"/>
                <w:szCs w:val="18"/>
              </w:rPr>
              <w:t xml:space="preserve"> для </w:t>
            </w:r>
            <w:proofErr w:type="spellStart"/>
            <w:r w:rsidR="00C35710" w:rsidRPr="00C35710">
              <w:rPr>
                <w:sz w:val="18"/>
                <w:szCs w:val="18"/>
              </w:rPr>
              <w:t>среднеэтаж</w:t>
            </w:r>
            <w:r w:rsidR="00C35710">
              <w:rPr>
                <w:sz w:val="18"/>
                <w:szCs w:val="18"/>
              </w:rPr>
              <w:t>ная</w:t>
            </w:r>
            <w:proofErr w:type="spellEnd"/>
            <w:r w:rsidR="00C35710">
              <w:rPr>
                <w:sz w:val="18"/>
                <w:szCs w:val="18"/>
              </w:rPr>
              <w:t xml:space="preserve"> жилая застройка - 5 этажей;</w:t>
            </w:r>
            <w:r w:rsidR="00C35710" w:rsidRPr="00C35710">
              <w:rPr>
                <w:sz w:val="18"/>
                <w:szCs w:val="18"/>
              </w:rPr>
              <w:t>- для обще</w:t>
            </w:r>
            <w:r w:rsidR="00C35710">
              <w:rPr>
                <w:sz w:val="18"/>
                <w:szCs w:val="18"/>
              </w:rPr>
              <w:t>ственное управление - 5 этажей;</w:t>
            </w:r>
            <w:r w:rsidR="00C35710" w:rsidRPr="00C35710">
              <w:rPr>
                <w:sz w:val="18"/>
                <w:szCs w:val="18"/>
              </w:rPr>
              <w:t xml:space="preserve">- для гостиничное </w:t>
            </w:r>
            <w:r w:rsidR="00C35710">
              <w:rPr>
                <w:sz w:val="18"/>
                <w:szCs w:val="18"/>
              </w:rPr>
              <w:t xml:space="preserve">обслуживание - 5 этажей. </w:t>
            </w:r>
            <w:r w:rsidR="00C35710">
              <w:rPr>
                <w:sz w:val="18"/>
                <w:szCs w:val="18"/>
              </w:rPr>
              <w:lastRenderedPageBreak/>
              <w:t>М</w:t>
            </w:r>
            <w:r w:rsidR="00C35710" w:rsidRPr="00C35710">
              <w:rPr>
                <w:sz w:val="18"/>
                <w:szCs w:val="1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w:t>
            </w:r>
            <w:r w:rsidR="00C35710">
              <w:rPr>
                <w:sz w:val="18"/>
                <w:szCs w:val="18"/>
              </w:rPr>
              <w:t>ение коммунальных услуг», - 0 м. М</w:t>
            </w:r>
            <w:r w:rsidR="00C35710" w:rsidRPr="00C35710">
              <w:rPr>
                <w:sz w:val="18"/>
                <w:szCs w:val="1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tc>
      </w:tr>
      <w:tr w:rsidR="008955A2" w:rsidTr="008955A2">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6820AE">
        <w:trPr>
          <w:trHeight w:val="1035"/>
        </w:trPr>
        <w:tc>
          <w:tcPr>
            <w:tcW w:w="2678"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6820AE">
        <w:trPr>
          <w:trHeight w:val="468"/>
        </w:trPr>
        <w:tc>
          <w:tcPr>
            <w:tcW w:w="2678"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55721B">
              <w:rPr>
                <w:rFonts w:ascii="Times New Roman" w:hAnsi="Times New Roman" w:cs="Times New Roman"/>
                <w:sz w:val="20"/>
                <w:szCs w:val="20"/>
              </w:rPr>
              <w:t>В центральную линию</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B60392">
              <w:rPr>
                <w:rFonts w:ascii="Times New Roman" w:hAnsi="Times New Roman" w:cs="Times New Roman"/>
                <w:sz w:val="20"/>
                <w:szCs w:val="20"/>
              </w:rPr>
              <w:t>ПЭ</w:t>
            </w:r>
            <w:r w:rsidR="008955A2" w:rsidRPr="00DF4ADF">
              <w:rPr>
                <w:rFonts w:ascii="Times New Roman" w:hAnsi="Times New Roman" w:cs="Times New Roman"/>
                <w:sz w:val="20"/>
                <w:szCs w:val="20"/>
              </w:rPr>
              <w:t xml:space="preserve"> ø </w:t>
            </w:r>
            <w:r w:rsidR="009C69EE">
              <w:rPr>
                <w:rFonts w:ascii="Times New Roman" w:hAnsi="Times New Roman" w:cs="Times New Roman"/>
                <w:sz w:val="20"/>
                <w:szCs w:val="20"/>
              </w:rPr>
              <w:t>110</w:t>
            </w:r>
            <w:r w:rsidR="008955A2" w:rsidRPr="00DF4ADF">
              <w:rPr>
                <w:rFonts w:ascii="Times New Roman" w:hAnsi="Times New Roman" w:cs="Times New Roman"/>
                <w:sz w:val="20"/>
                <w:szCs w:val="20"/>
              </w:rPr>
              <w:t xml:space="preserve"> мм проходящей по ул.</w:t>
            </w:r>
            <w:r w:rsidR="00B60392">
              <w:rPr>
                <w:rFonts w:ascii="Times New Roman" w:hAnsi="Times New Roman" w:cs="Times New Roman"/>
                <w:sz w:val="20"/>
                <w:szCs w:val="20"/>
              </w:rPr>
              <w:t xml:space="preserve"> </w:t>
            </w:r>
            <w:r w:rsidR="003D6BB4">
              <w:rPr>
                <w:rFonts w:ascii="Times New Roman" w:hAnsi="Times New Roman" w:cs="Times New Roman"/>
                <w:sz w:val="20"/>
                <w:szCs w:val="20"/>
              </w:rPr>
              <w:t xml:space="preserve">Павлика Морозова Расстояние от границы земельного участка до </w:t>
            </w:r>
            <w:r w:rsidR="003D6BB4">
              <w:rPr>
                <w:rFonts w:ascii="Times New Roman" w:hAnsi="Times New Roman" w:cs="Times New Roman"/>
                <w:sz w:val="20"/>
                <w:szCs w:val="20"/>
              </w:rPr>
              <w:lastRenderedPageBreak/>
              <w:t>центральной линии водопровода ориентировочно составляет 130 м</w:t>
            </w:r>
            <w:r w:rsidR="00B60392">
              <w:rPr>
                <w:rFonts w:ascii="Times New Roman" w:hAnsi="Times New Roman" w:cs="Times New Roman"/>
                <w:sz w:val="20"/>
                <w:szCs w:val="20"/>
              </w:rPr>
              <w:t>.</w:t>
            </w:r>
            <w:r w:rsidR="004857E7">
              <w:rPr>
                <w:rFonts w:ascii="Times New Roman" w:hAnsi="Times New Roman" w:cs="Times New Roman"/>
                <w:sz w:val="20"/>
                <w:szCs w:val="20"/>
              </w:rPr>
              <w:t xml:space="preserve"> </w:t>
            </w:r>
            <w:r w:rsidR="00B60392">
              <w:rPr>
                <w:rFonts w:ascii="Times New Roman" w:hAnsi="Times New Roman" w:cs="Times New Roman"/>
                <w:sz w:val="20"/>
                <w:szCs w:val="20"/>
              </w:rPr>
              <w:t>Максимальная нагрузка в точке подключения ориентировочно составляет 30 м3/</w:t>
            </w:r>
            <w:proofErr w:type="spellStart"/>
            <w:r w:rsidR="00B60392">
              <w:rPr>
                <w:rFonts w:ascii="Times New Roman" w:hAnsi="Times New Roman" w:cs="Times New Roman"/>
                <w:sz w:val="20"/>
                <w:szCs w:val="20"/>
              </w:rPr>
              <w:t>сут</w:t>
            </w:r>
            <w:proofErr w:type="spellEnd"/>
            <w:r w:rsidR="00B60392">
              <w:rPr>
                <w:rFonts w:ascii="Times New Roman" w:hAnsi="Times New Roman" w:cs="Times New Roman"/>
                <w:sz w:val="20"/>
                <w:szCs w:val="20"/>
              </w:rPr>
              <w:t>.</w:t>
            </w:r>
          </w:p>
          <w:p w:rsidR="008955A2" w:rsidRPr="00DF4ADF" w:rsidRDefault="008955A2" w:rsidP="00B60392">
            <w:pPr>
              <w:pStyle w:val="a3"/>
              <w:spacing w:after="0" w:line="240" w:lineRule="auto"/>
              <w:ind w:left="-81"/>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lastRenderedPageBreak/>
              <w:t>Гарантируемый свободный напор в месте присоединения 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t xml:space="preserve">Мпа </w:t>
            </w:r>
            <w:r w:rsidR="00DD704C">
              <w:rPr>
                <w:rFonts w:ascii="Times New Roman" w:hAnsi="Times New Roman" w:cs="Times New Roman"/>
                <w:sz w:val="18"/>
                <w:szCs w:val="18"/>
              </w:rPr>
              <w:lastRenderedPageBreak/>
              <w:t>(1 кгс/кв.см)</w:t>
            </w:r>
            <w:r w:rsidRPr="00DD704C">
              <w:rPr>
                <w:rFonts w:ascii="Times New Roman" w:hAnsi="Times New Roman" w:cs="Times New Roman"/>
                <w:sz w:val="18"/>
                <w:szCs w:val="18"/>
              </w:rPr>
              <w:t xml:space="preserve"> </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sidRPr="0062585C">
              <w:rPr>
                <w:rFonts w:ascii="Times New Roman" w:eastAsia="Times New Roman" w:hAnsi="Times New Roman" w:cs="Times New Roman"/>
                <w:sz w:val="18"/>
                <w:szCs w:val="18"/>
                <w:lang w:eastAsia="ru-RU"/>
              </w:rPr>
              <w:lastRenderedPageBreak/>
              <w:t>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DC35E8">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w:t>
            </w:r>
            <w:r w:rsidRPr="00691A44">
              <w:rPr>
                <w:rFonts w:ascii="Times New Roman" w:hAnsi="Times New Roman" w:cs="Times New Roman"/>
                <w:sz w:val="18"/>
              </w:rPr>
              <w:lastRenderedPageBreak/>
              <w:t xml:space="preserve">Волгоградской области от </w:t>
            </w:r>
            <w:r w:rsidR="009023D1">
              <w:rPr>
                <w:rFonts w:ascii="Times New Roman" w:hAnsi="Times New Roman" w:cs="Times New Roman"/>
                <w:sz w:val="18"/>
              </w:rPr>
              <w:t>20.12.2019</w:t>
            </w:r>
            <w:r w:rsidRPr="00691A44">
              <w:rPr>
                <w:rFonts w:ascii="Times New Roman" w:hAnsi="Times New Roman" w:cs="Times New Roman"/>
                <w:sz w:val="18"/>
              </w:rPr>
              <w:t xml:space="preserve"> г. № </w:t>
            </w:r>
            <w:r w:rsidR="009023D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0A41C3">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0C3FD8">
              <w:rPr>
                <w:rFonts w:ascii="Times New Roman" w:hAnsi="Times New Roman" w:cs="Times New Roman"/>
                <w:sz w:val="18"/>
              </w:rPr>
              <w:t>20</w:t>
            </w:r>
            <w:r w:rsidRPr="00691A44">
              <w:rPr>
                <w:rFonts w:ascii="Times New Roman" w:hAnsi="Times New Roman" w:cs="Times New Roman"/>
                <w:sz w:val="18"/>
              </w:rPr>
              <w:t xml:space="preserve"> по 31.12.20</w:t>
            </w:r>
            <w:r w:rsidR="000C3FD8">
              <w:rPr>
                <w:rFonts w:ascii="Times New Roman" w:hAnsi="Times New Roman" w:cs="Times New Roman"/>
                <w:sz w:val="18"/>
              </w:rPr>
              <w:t>20</w:t>
            </w:r>
            <w:r w:rsidRPr="00691A44">
              <w:rPr>
                <w:rFonts w:ascii="Times New Roman" w:hAnsi="Times New Roman" w:cs="Times New Roman"/>
                <w:sz w:val="18"/>
              </w:rPr>
              <w:t xml:space="preserve"> – </w:t>
            </w:r>
            <w:r w:rsidR="000C3FD8">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0C3FD8">
              <w:rPr>
                <w:rFonts w:ascii="Times New Roman" w:hAnsi="Times New Roman" w:cs="Times New Roman"/>
                <w:sz w:val="18"/>
              </w:rPr>
              <w:t>20</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DC35E8">
              <w:rPr>
                <w:rFonts w:ascii="Times New Roman" w:hAnsi="Times New Roman" w:cs="Times New Roman"/>
                <w:sz w:val="18"/>
              </w:rPr>
              <w:t>20.12.2019</w:t>
            </w:r>
            <w:r w:rsidRPr="00691A44">
              <w:rPr>
                <w:rFonts w:ascii="Times New Roman" w:hAnsi="Times New Roman" w:cs="Times New Roman"/>
                <w:sz w:val="18"/>
              </w:rPr>
              <w:t xml:space="preserve"> г. № </w:t>
            </w:r>
            <w:r w:rsidR="00DC35E8">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DC35E8">
              <w:rPr>
                <w:rFonts w:ascii="Times New Roman" w:hAnsi="Times New Roman" w:cs="Times New Roman"/>
                <w:sz w:val="18"/>
              </w:rPr>
              <w:t>20</w:t>
            </w:r>
            <w:r w:rsidRPr="00691A44">
              <w:rPr>
                <w:rFonts w:ascii="Times New Roman" w:hAnsi="Times New Roman" w:cs="Times New Roman"/>
                <w:sz w:val="18"/>
              </w:rPr>
              <w:t xml:space="preserve"> год».</w:t>
            </w:r>
          </w:p>
        </w:tc>
      </w:tr>
      <w:tr w:rsidR="008955A2" w:rsidTr="008955A2">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CD45F5" w:rsidRPr="00D011D8" w:rsidRDefault="00B44CAB" w:rsidP="009C69EE">
            <w:pPr>
              <w:jc w:val="both"/>
              <w:rPr>
                <w:rFonts w:ascii="Times New Roman" w:hAnsi="Times New Roman" w:cs="Times New Roman"/>
                <w:sz w:val="24"/>
                <w:szCs w:val="24"/>
              </w:rPr>
            </w:pPr>
            <w:r>
              <w:rPr>
                <w:rFonts w:ascii="Times New Roman" w:hAnsi="Times New Roman" w:cs="Times New Roman"/>
                <w:sz w:val="24"/>
                <w:szCs w:val="24"/>
              </w:rPr>
              <w:t>Отсутствие сетей центральной хозяйственно-бытовой канализации.</w:t>
            </w:r>
          </w:p>
        </w:tc>
      </w:tr>
      <w:tr w:rsidR="005A41FF" w:rsidTr="00354A9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5A41FF" w:rsidP="00961DA8">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w:t>
            </w:r>
            <w:r w:rsidR="00961DA8">
              <w:rPr>
                <w:rFonts w:ascii="Times New Roman" w:hAnsi="Times New Roman" w:cs="Times New Roman"/>
              </w:rPr>
              <w:t>технически невозможно.</w:t>
            </w:r>
          </w:p>
        </w:tc>
      </w:tr>
      <w:tr w:rsidR="0096039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lastRenderedPageBreak/>
              <w:t>Газоснабжение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063E24" w:rsidP="0011794B">
            <w:pPr>
              <w:pStyle w:val="western"/>
              <w:shd w:val="clear" w:color="auto" w:fill="FFFFFF"/>
              <w:jc w:val="both"/>
              <w:rPr>
                <w:sz w:val="28"/>
                <w:szCs w:val="28"/>
              </w:rPr>
            </w:pPr>
            <w:r w:rsidRPr="00E21D3F">
              <w:t xml:space="preserve">Подключение к сети газораспределения возможно </w:t>
            </w:r>
            <w:r w:rsidR="0011794B">
              <w:t xml:space="preserve">от газопровода низкого давления </w:t>
            </w:r>
            <w:r w:rsidRPr="00E21D3F">
              <w:t xml:space="preserve">в г. Котельниково, </w:t>
            </w:r>
            <w:proofErr w:type="spellStart"/>
            <w:r w:rsidRPr="00E21D3F">
              <w:t>Котельниковско</w:t>
            </w:r>
            <w:r>
              <w:t>го</w:t>
            </w:r>
            <w:proofErr w:type="spellEnd"/>
            <w:r>
              <w:t xml:space="preserve"> района Волгоградской области</w:t>
            </w:r>
            <w:r w:rsidR="0011794B">
              <w:t xml:space="preserve">, находящегося в собственности администрации </w:t>
            </w:r>
            <w:proofErr w:type="spellStart"/>
            <w:r w:rsidR="0011794B">
              <w:t>Котельниковского</w:t>
            </w:r>
            <w:proofErr w:type="spellEnd"/>
            <w:r w:rsidR="0011794B">
              <w:t xml:space="preserve"> городского поселения.</w:t>
            </w:r>
          </w:p>
        </w:tc>
      </w:tr>
      <w:tr w:rsidR="00A03BA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BA1E7C"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r w:rsidR="00EF238B">
              <w:rPr>
                <w:rFonts w:ascii="Times New Roman" w:hAnsi="Times New Roman" w:cs="Times New Roman"/>
              </w:rPr>
              <w:t xml:space="preserve"> </w:t>
            </w:r>
            <w:r w:rsidR="00EF238B"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EF238B" w:rsidRPr="00EF238B">
              <w:rPr>
                <w:rFonts w:ascii="Times New Roman" w:hAnsi="Times New Roman" w:cs="Times New Roman"/>
              </w:rPr>
              <w:t>Волгоградоблэлектро</w:t>
            </w:r>
            <w:proofErr w:type="spellEnd"/>
            <w:r w:rsidR="00EF238B" w:rsidRPr="00EF238B">
              <w:rPr>
                <w:rFonts w:ascii="Times New Roman" w:hAnsi="Times New Roman" w:cs="Times New Roman"/>
              </w:rPr>
              <w:t xml:space="preserve">» филиал пригородные межрайонные электрические сети </w:t>
            </w:r>
            <w:proofErr w:type="spellStart"/>
            <w:r w:rsidR="00EF238B" w:rsidRPr="00EF238B">
              <w:rPr>
                <w:rFonts w:ascii="Times New Roman" w:hAnsi="Times New Roman" w:cs="Times New Roman"/>
              </w:rPr>
              <w:t>Котельниковский</w:t>
            </w:r>
            <w:proofErr w:type="spellEnd"/>
            <w:r w:rsidR="00EF238B"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sectPr w:rsidR="0062585C"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0CFE"/>
    <w:rsid w:val="00047C00"/>
    <w:rsid w:val="00063E24"/>
    <w:rsid w:val="00067D19"/>
    <w:rsid w:val="00071A0C"/>
    <w:rsid w:val="00073A5F"/>
    <w:rsid w:val="0007562B"/>
    <w:rsid w:val="000766E3"/>
    <w:rsid w:val="00077A4C"/>
    <w:rsid w:val="000A25E9"/>
    <w:rsid w:val="000A41C3"/>
    <w:rsid w:val="000B25E6"/>
    <w:rsid w:val="000C3FD8"/>
    <w:rsid w:val="000C4DAD"/>
    <w:rsid w:val="000D56E5"/>
    <w:rsid w:val="000E0DFE"/>
    <w:rsid w:val="000E2454"/>
    <w:rsid w:val="000E5160"/>
    <w:rsid w:val="000F62C3"/>
    <w:rsid w:val="00112E65"/>
    <w:rsid w:val="00116BEA"/>
    <w:rsid w:val="0011794B"/>
    <w:rsid w:val="00126960"/>
    <w:rsid w:val="001434F0"/>
    <w:rsid w:val="001510E4"/>
    <w:rsid w:val="00151A29"/>
    <w:rsid w:val="00170D42"/>
    <w:rsid w:val="00180344"/>
    <w:rsid w:val="00185CDB"/>
    <w:rsid w:val="00186858"/>
    <w:rsid w:val="001942E5"/>
    <w:rsid w:val="00196BC3"/>
    <w:rsid w:val="001A1CD6"/>
    <w:rsid w:val="001A1EB0"/>
    <w:rsid w:val="001C667F"/>
    <w:rsid w:val="001D4A9E"/>
    <w:rsid w:val="001F2DD6"/>
    <w:rsid w:val="00217F95"/>
    <w:rsid w:val="00225855"/>
    <w:rsid w:val="00226618"/>
    <w:rsid w:val="00236F28"/>
    <w:rsid w:val="00262390"/>
    <w:rsid w:val="00272C3A"/>
    <w:rsid w:val="00285611"/>
    <w:rsid w:val="00295034"/>
    <w:rsid w:val="00295A0F"/>
    <w:rsid w:val="002B6222"/>
    <w:rsid w:val="002C0860"/>
    <w:rsid w:val="002D2736"/>
    <w:rsid w:val="002E1F35"/>
    <w:rsid w:val="002F1FB6"/>
    <w:rsid w:val="002F54FB"/>
    <w:rsid w:val="00304AE9"/>
    <w:rsid w:val="003069C8"/>
    <w:rsid w:val="00310D9E"/>
    <w:rsid w:val="00315947"/>
    <w:rsid w:val="0032105E"/>
    <w:rsid w:val="0035568D"/>
    <w:rsid w:val="00356988"/>
    <w:rsid w:val="00364C73"/>
    <w:rsid w:val="00366FCA"/>
    <w:rsid w:val="00375406"/>
    <w:rsid w:val="003952A4"/>
    <w:rsid w:val="00396C2C"/>
    <w:rsid w:val="003D2508"/>
    <w:rsid w:val="003D6BB4"/>
    <w:rsid w:val="003E7881"/>
    <w:rsid w:val="004131D8"/>
    <w:rsid w:val="0042003B"/>
    <w:rsid w:val="004210F1"/>
    <w:rsid w:val="00440E12"/>
    <w:rsid w:val="00461A36"/>
    <w:rsid w:val="0047041B"/>
    <w:rsid w:val="004857E7"/>
    <w:rsid w:val="00496D25"/>
    <w:rsid w:val="0049777C"/>
    <w:rsid w:val="004A7945"/>
    <w:rsid w:val="004B10C0"/>
    <w:rsid w:val="004D4C98"/>
    <w:rsid w:val="004F7A77"/>
    <w:rsid w:val="004F7C93"/>
    <w:rsid w:val="00516835"/>
    <w:rsid w:val="00537B2F"/>
    <w:rsid w:val="005433BB"/>
    <w:rsid w:val="00545275"/>
    <w:rsid w:val="00545A28"/>
    <w:rsid w:val="00553AE2"/>
    <w:rsid w:val="00553F2D"/>
    <w:rsid w:val="00556E70"/>
    <w:rsid w:val="0055721B"/>
    <w:rsid w:val="005757FE"/>
    <w:rsid w:val="005A41FF"/>
    <w:rsid w:val="005A4E9B"/>
    <w:rsid w:val="005B158E"/>
    <w:rsid w:val="005B3AB4"/>
    <w:rsid w:val="005D57C0"/>
    <w:rsid w:val="005F3F7B"/>
    <w:rsid w:val="005F4747"/>
    <w:rsid w:val="005F6ADD"/>
    <w:rsid w:val="0060312F"/>
    <w:rsid w:val="0060321E"/>
    <w:rsid w:val="006051CF"/>
    <w:rsid w:val="00617B05"/>
    <w:rsid w:val="0062585C"/>
    <w:rsid w:val="006478B4"/>
    <w:rsid w:val="00650F82"/>
    <w:rsid w:val="0066117E"/>
    <w:rsid w:val="0067046F"/>
    <w:rsid w:val="00675984"/>
    <w:rsid w:val="006820AE"/>
    <w:rsid w:val="00684C4B"/>
    <w:rsid w:val="00691A44"/>
    <w:rsid w:val="006938C7"/>
    <w:rsid w:val="00695FD6"/>
    <w:rsid w:val="006B356D"/>
    <w:rsid w:val="006C0EC2"/>
    <w:rsid w:val="007000D6"/>
    <w:rsid w:val="007132A7"/>
    <w:rsid w:val="00736386"/>
    <w:rsid w:val="00741816"/>
    <w:rsid w:val="00756C8B"/>
    <w:rsid w:val="007655C4"/>
    <w:rsid w:val="00773E52"/>
    <w:rsid w:val="00783E57"/>
    <w:rsid w:val="007911AB"/>
    <w:rsid w:val="007B3354"/>
    <w:rsid w:val="007B7DE4"/>
    <w:rsid w:val="00801F7F"/>
    <w:rsid w:val="00807717"/>
    <w:rsid w:val="00823500"/>
    <w:rsid w:val="008419A5"/>
    <w:rsid w:val="00863C8A"/>
    <w:rsid w:val="008642EB"/>
    <w:rsid w:val="00867697"/>
    <w:rsid w:val="00870D4F"/>
    <w:rsid w:val="008911BC"/>
    <w:rsid w:val="008955A2"/>
    <w:rsid w:val="008A0290"/>
    <w:rsid w:val="008B3C15"/>
    <w:rsid w:val="008E7793"/>
    <w:rsid w:val="009023D1"/>
    <w:rsid w:val="00916AB1"/>
    <w:rsid w:val="00951F09"/>
    <w:rsid w:val="00952901"/>
    <w:rsid w:val="00955EE9"/>
    <w:rsid w:val="0096039F"/>
    <w:rsid w:val="00961DA8"/>
    <w:rsid w:val="00965D5F"/>
    <w:rsid w:val="009664F3"/>
    <w:rsid w:val="0098723C"/>
    <w:rsid w:val="009C1F91"/>
    <w:rsid w:val="009C69EE"/>
    <w:rsid w:val="009D09A2"/>
    <w:rsid w:val="00A03BAF"/>
    <w:rsid w:val="00A42E8F"/>
    <w:rsid w:val="00A80CE8"/>
    <w:rsid w:val="00A844BB"/>
    <w:rsid w:val="00A94811"/>
    <w:rsid w:val="00AA531C"/>
    <w:rsid w:val="00AC0D08"/>
    <w:rsid w:val="00AD0BE4"/>
    <w:rsid w:val="00AD757E"/>
    <w:rsid w:val="00B360F8"/>
    <w:rsid w:val="00B3771E"/>
    <w:rsid w:val="00B44CAB"/>
    <w:rsid w:val="00B57078"/>
    <w:rsid w:val="00B57968"/>
    <w:rsid w:val="00B60392"/>
    <w:rsid w:val="00B733C8"/>
    <w:rsid w:val="00B73551"/>
    <w:rsid w:val="00B75584"/>
    <w:rsid w:val="00BA1E7C"/>
    <w:rsid w:val="00BE538A"/>
    <w:rsid w:val="00C04374"/>
    <w:rsid w:val="00C23D72"/>
    <w:rsid w:val="00C25F50"/>
    <w:rsid w:val="00C309E0"/>
    <w:rsid w:val="00C35710"/>
    <w:rsid w:val="00C552B5"/>
    <w:rsid w:val="00C57CB2"/>
    <w:rsid w:val="00C60319"/>
    <w:rsid w:val="00C60BD7"/>
    <w:rsid w:val="00C7530C"/>
    <w:rsid w:val="00C76FC0"/>
    <w:rsid w:val="00CA1C00"/>
    <w:rsid w:val="00CA6CB4"/>
    <w:rsid w:val="00CC00F6"/>
    <w:rsid w:val="00CD45F5"/>
    <w:rsid w:val="00CF0560"/>
    <w:rsid w:val="00D011D8"/>
    <w:rsid w:val="00D03FE2"/>
    <w:rsid w:val="00D12D16"/>
    <w:rsid w:val="00D439EE"/>
    <w:rsid w:val="00D91498"/>
    <w:rsid w:val="00D96901"/>
    <w:rsid w:val="00D97D0B"/>
    <w:rsid w:val="00DC0044"/>
    <w:rsid w:val="00DC35E8"/>
    <w:rsid w:val="00DC6BE0"/>
    <w:rsid w:val="00DD704C"/>
    <w:rsid w:val="00DF4ADF"/>
    <w:rsid w:val="00DF710A"/>
    <w:rsid w:val="00E03079"/>
    <w:rsid w:val="00E05FEA"/>
    <w:rsid w:val="00E21D3F"/>
    <w:rsid w:val="00E22223"/>
    <w:rsid w:val="00E31710"/>
    <w:rsid w:val="00E511A3"/>
    <w:rsid w:val="00E63B08"/>
    <w:rsid w:val="00E73ACF"/>
    <w:rsid w:val="00E8595A"/>
    <w:rsid w:val="00E93932"/>
    <w:rsid w:val="00EA2D0F"/>
    <w:rsid w:val="00ED615C"/>
    <w:rsid w:val="00EF238B"/>
    <w:rsid w:val="00F1671A"/>
    <w:rsid w:val="00F40538"/>
    <w:rsid w:val="00F610E1"/>
    <w:rsid w:val="00F66D4B"/>
    <w:rsid w:val="00F70BD0"/>
    <w:rsid w:val="00FB1451"/>
    <w:rsid w:val="00FB2590"/>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35710"/>
    <w:pPr>
      <w:spacing w:after="0" w:line="240" w:lineRule="auto"/>
    </w:pPr>
  </w:style>
  <w:style w:type="character" w:styleId="a8">
    <w:name w:val="Hyperlink"/>
    <w:basedOn w:val="a0"/>
    <w:uiPriority w:val="99"/>
    <w:unhideWhenUsed/>
    <w:rsid w:val="00C3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D9A5-710F-43C3-891B-13365419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207</cp:revision>
  <cp:lastPrinted>2018-08-10T11:22:00Z</cp:lastPrinted>
  <dcterms:created xsi:type="dcterms:W3CDTF">2019-03-11T10:51:00Z</dcterms:created>
  <dcterms:modified xsi:type="dcterms:W3CDTF">2021-03-17T07:46:00Z</dcterms:modified>
</cp:coreProperties>
</file>