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</w:t>
      </w:r>
      <w:r>
        <w:rPr>
          <w:rFonts w:ascii="Times New Roman" w:hAnsi="Times New Roman" w:cs="Times New Roman"/>
          <w:sz w:val="24"/>
          <w:szCs w:val="24"/>
        </w:rPr>
        <w:t>ных слушаний, состоявшихся 23.03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№145 от  01.03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параметров разрешенного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площадью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кв.м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34:13:130023:448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 по адресу: Волгоградская область, Котельниковский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Котельниково, ул. Хользунова, д.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 кв.м с </w:t>
      </w:r>
      <w:r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34:13:130023:448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Котельниково,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Хользунова, д.2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>
        <w:rPr>
          <w:rFonts w:ascii="Times New Roman" w:hAnsi="Times New Roman" w:cs="Times New Roman"/>
          <w:b/>
          <w:sz w:val="24"/>
          <w:szCs w:val="24"/>
        </w:rPr>
        <w:t>______________   (Кононова Н. Ф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2018-03-25T07:04:00Z</cp:lastPrinted>
  <dcterms:created xsi:type="dcterms:W3CDTF">2018-03-25T07:01:00Z</dcterms:created>
  <dcterms:modified xsi:type="dcterms:W3CDTF">2018-03-25T07:04:00Z</dcterms:modified>
</cp:coreProperties>
</file>