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6808E6" w:rsidRPr="006808E6">
              <w:rPr>
                <w:rFonts w:ascii="Times New Roman" w:hAnsi="Times New Roman" w:cs="Times New Roman"/>
                <w:color w:val="000000" w:themeColor="text1"/>
                <w:sz w:val="24"/>
                <w:szCs w:val="24"/>
                <w:shd w:val="clear" w:color="auto" w:fill="F2F2F2"/>
              </w:rPr>
              <w:t>200721/2648687/01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807717">
              <w:rPr>
                <w:rFonts w:ascii="Times New Roman" w:hAnsi="Times New Roman" w:cs="Times New Roman"/>
                <w:sz w:val="18"/>
              </w:rPr>
              <w:t xml:space="preserve">ул. </w:t>
            </w:r>
            <w:r w:rsidR="00564EE6">
              <w:rPr>
                <w:rFonts w:ascii="Times New Roman" w:hAnsi="Times New Roman" w:cs="Times New Roman"/>
                <w:sz w:val="18"/>
              </w:rPr>
              <w:t>Гришина, примерно в 23 м по направлению на северо-восток от здания магазина</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DA393E"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34:13:130017:1238</w:t>
            </w:r>
            <w:r w:rsidR="002B6222" w:rsidRPr="00185CDB">
              <w:rPr>
                <w:rFonts w:ascii="Times New Roman" w:hAnsi="Times New Roman" w:cs="Times New Roman"/>
                <w:sz w:val="18"/>
              </w:rPr>
              <w:t>;</w:t>
            </w:r>
          </w:p>
          <w:p w:rsidR="002B6222" w:rsidRPr="00185CDB" w:rsidRDefault="00217F95"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DA393E">
              <w:rPr>
                <w:rFonts w:ascii="Times New Roman" w:hAnsi="Times New Roman" w:cs="Times New Roman"/>
                <w:sz w:val="18"/>
              </w:rPr>
              <w:t>27</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DA393E" w:rsidP="00126960">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гаража</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DA393E" w:rsidP="002B6222">
            <w:pPr>
              <w:jc w:val="center"/>
              <w:rPr>
                <w:rFonts w:cs="Times New Roman"/>
                <w:sz w:val="18"/>
              </w:rPr>
            </w:pPr>
            <w:r>
              <w:rPr>
                <w:rFonts w:eastAsia="Times New Roman" w:cs="Arial"/>
                <w:sz w:val="20"/>
                <w:szCs w:val="20"/>
                <w:bdr w:val="none" w:sz="0" w:space="0" w:color="auto" w:frame="1"/>
                <w:lang w:eastAsia="ru-RU"/>
              </w:rPr>
              <w:t>15290,91</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DA393E" w:rsidP="002B6222">
            <w:pPr>
              <w:jc w:val="center"/>
              <w:rPr>
                <w:rFonts w:ascii="Times New Roman" w:hAnsi="Times New Roman" w:cs="Times New Roman"/>
                <w:sz w:val="18"/>
              </w:rPr>
            </w:pPr>
            <w:r>
              <w:rPr>
                <w:rFonts w:eastAsia="Times New Roman" w:cs="Arial"/>
                <w:sz w:val="20"/>
                <w:szCs w:val="20"/>
                <w:bdr w:val="none" w:sz="0" w:space="0" w:color="auto" w:frame="1"/>
                <w:lang w:eastAsia="ru-RU"/>
              </w:rPr>
              <w:t>15290,91</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0F62C3" w:rsidP="002B6222">
            <w:pPr>
              <w:jc w:val="cente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3534AF" w:rsidRPr="003534AF" w:rsidRDefault="003534AF" w:rsidP="003534AF">
            <w:pPr>
              <w:rPr>
                <w:rFonts w:ascii="Times New Roman" w:eastAsia="Times New Roman" w:hAnsi="Times New Roman" w:cs="Times New Roman"/>
                <w:sz w:val="18"/>
                <w:szCs w:val="18"/>
                <w:lang w:eastAsia="ru-RU"/>
              </w:rPr>
            </w:pPr>
            <w:r w:rsidRPr="003534AF">
              <w:rPr>
                <w:rFonts w:ascii="Times New Roman" w:eastAsia="Times New Roman" w:hAnsi="Times New Roman" w:cs="Times New Roman"/>
                <w:sz w:val="18"/>
                <w:szCs w:val="18"/>
                <w:lang w:eastAsia="ru-RU"/>
              </w:rPr>
              <w:t xml:space="preserve">В соответствии с Правилами землепользования и застройки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утвержденными решением Совета народных депутатов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от 30.07.2020 г. № 57/310, указанный земельный участок расположен в зоне застройки объектов общественного назначения. Кодовое обозначение зоны (индекс) – Ж-2. 1. Цели выделения зоны застройки малоэтажными жилыми домами (Ж-2): 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смешанной застройки из отдельно стоящих и блокированных жилых зданий, многоквартирных зданий этажностью не выше 3 этажей; 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3) размещение необходимых объектов коммунальной и транспортной инфраструктур. Предельные (минимальные и (или) максимальные) размеры земельных участков и </w:t>
            </w:r>
            <w:r w:rsidRPr="003534AF">
              <w:rPr>
                <w:rFonts w:ascii="Times New Roman" w:eastAsia="Times New Roman" w:hAnsi="Times New Roman" w:cs="Times New Roman"/>
                <w:sz w:val="18"/>
                <w:szCs w:val="18"/>
                <w:lang w:eastAsia="ru-RU"/>
              </w:rPr>
              <w:lastRenderedPageBreak/>
              <w:t xml:space="preserve">предельные параметры разрешенного строительства, реконструкции объектов капитального строительства: 1) минимальная и максимальная площадь земельного участка - для индивидуального жилищного строительства - от 300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1500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малоэтажная многоквартирная жилая застройка - от 1200 кв. м до 5500 кв. м; - для блокированная жилая застройка - от 400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800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хранение автотранспорта - от 24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30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минимальная и максимальная площадь других земельных участков с видами разрешенного использования, указанными в пункте 2 настоящей статьи - не подлежит установлению; 2) предельные (минимальные и (или) максимальные) размеры земельных участков: - для индивидуального жилищного строительства - минимальная ширина земельного участка вдоль фронта улицы - 15 м; - для малоэтажная многоквартирная жилая застройка - минимальная ширина земельного участка вдоль фронта улицы - 30 м; - для блокированная жилая застройка - минимальная ширина земельного участка вдоль фронта улицы - 20 м; - предельные (минимальные и (или) максимальные) размеры других земельных участков с видами разрешенного использования, указанными в пункте 2 настоящей статьи - не подлежит установлению; 3) предельное количество этажей надземной части зданий, строений, сооружений: - для индивидуального жилищного строительства - 3 этажа; - для малоэтажная многоквартирная жилая застройка - 3 этажа - для блокированная жилая застройка - 3 этажа; - предельное количество этажей зданий, строений, сооружений для других земельных участков с видами разрешенного использования, указанными в пункте 2 настоящей статьи - не подлежит установлению; 4) предельная высота зданий, строений, сооружений: - для дошкольное, начальное и среднее общее образование - 25 м; - предельная высота зданий, строений, сооружений для других земельных участков с видами разрешенного использования, указанными в пункте 2 настоящей статьи - 12 м; 5) минимальные отступы от границ земельных участков в целях определения мест допустимого размещения зданий, </w:t>
            </w:r>
            <w:r w:rsidRPr="003534AF">
              <w:rPr>
                <w:rFonts w:ascii="Times New Roman" w:eastAsia="Times New Roman" w:hAnsi="Times New Roman" w:cs="Times New Roman"/>
                <w:sz w:val="18"/>
                <w:szCs w:val="18"/>
                <w:lang w:eastAsia="ru-RU"/>
              </w:rPr>
              <w:lastRenderedPageBreak/>
              <w:t>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2B6222" w:rsidRPr="000E2454" w:rsidRDefault="002B6222" w:rsidP="000E2454">
            <w:pPr>
              <w:pStyle w:val="a6"/>
              <w:spacing w:before="115" w:after="115"/>
              <w:ind w:left="216"/>
              <w:rPr>
                <w:sz w:val="18"/>
                <w:szCs w:val="18"/>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863540">
              <w:rPr>
                <w:rFonts w:ascii="Times New Roman" w:hAnsi="Times New Roman" w:cs="Times New Roman"/>
                <w:sz w:val="20"/>
                <w:szCs w:val="20"/>
              </w:rPr>
              <w:t>63</w:t>
            </w:r>
            <w:r w:rsidR="008955A2" w:rsidRPr="00DF4ADF">
              <w:rPr>
                <w:rFonts w:ascii="Times New Roman" w:hAnsi="Times New Roman" w:cs="Times New Roman"/>
                <w:sz w:val="20"/>
                <w:szCs w:val="20"/>
              </w:rPr>
              <w:t xml:space="preserve"> мм </w:t>
            </w:r>
            <w:r w:rsidR="00863540">
              <w:rPr>
                <w:rFonts w:ascii="Times New Roman" w:hAnsi="Times New Roman" w:cs="Times New Roman"/>
                <w:sz w:val="20"/>
                <w:szCs w:val="20"/>
              </w:rPr>
              <w:t xml:space="preserve">(перекресток ул. Освобождения – ул. </w:t>
            </w:r>
            <w:r w:rsidR="00863540">
              <w:rPr>
                <w:rFonts w:ascii="Times New Roman" w:hAnsi="Times New Roman" w:cs="Times New Roman"/>
                <w:sz w:val="20"/>
                <w:szCs w:val="20"/>
              </w:rPr>
              <w:lastRenderedPageBreak/>
              <w:t>Гришина). Центральная линия водопровода проходит в радиусе 67 м от границы земельного участка.</w:t>
            </w:r>
            <w:r w:rsidR="003D6BB4">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в месте присоединения </w:t>
            </w:r>
            <w:r>
              <w:rPr>
                <w:rFonts w:ascii="Times New Roman" w:hAnsi="Times New Roman" w:cs="Times New Roman"/>
                <w:sz w:val="18"/>
                <w:szCs w:val="18"/>
              </w:rPr>
              <w:lastRenderedPageBreak/>
              <w:t>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w:t>
            </w:r>
            <w:r w:rsidRPr="0062585C">
              <w:rPr>
                <w:rFonts w:ascii="Times New Roman" w:eastAsia="Times New Roman" w:hAnsi="Times New Roman" w:cs="Times New Roman"/>
                <w:sz w:val="18"/>
                <w:szCs w:val="18"/>
                <w:lang w:eastAsia="ru-RU"/>
              </w:rPr>
              <w:lastRenderedPageBreak/>
              <w:t>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 xml:space="preserve">Не менее трех лет с момента их </w:t>
            </w:r>
            <w:r w:rsidRPr="00691A44">
              <w:rPr>
                <w:rFonts w:ascii="Times New Roman" w:hAnsi="Times New Roman" w:cs="Times New Roman"/>
                <w:sz w:val="18"/>
              </w:rPr>
              <w:lastRenderedPageBreak/>
              <w:t>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5E7695">
            <w:pPr>
              <w:jc w:val="both"/>
              <w:rPr>
                <w:rFonts w:ascii="Times New Roman" w:hAnsi="Times New Roman" w:cs="Times New Roman"/>
                <w:sz w:val="18"/>
              </w:rPr>
            </w:pPr>
            <w:r w:rsidRPr="00691A44">
              <w:rPr>
                <w:rFonts w:ascii="Times New Roman" w:hAnsi="Times New Roman" w:cs="Times New Roman"/>
                <w:sz w:val="18"/>
              </w:rPr>
              <w:lastRenderedPageBreak/>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xml:space="preserve">, размер платы за подключение Комитета тарифного регулирования Волгоградской области – </w:t>
            </w:r>
            <w:r w:rsidRPr="00691A44">
              <w:rPr>
                <w:rFonts w:ascii="Times New Roman" w:hAnsi="Times New Roman" w:cs="Times New Roman"/>
                <w:sz w:val="18"/>
              </w:rPr>
              <w:lastRenderedPageBreak/>
              <w:t>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5E7695">
              <w:rPr>
                <w:rFonts w:ascii="Times New Roman" w:hAnsi="Times New Roman" w:cs="Times New Roman"/>
                <w:sz w:val="18"/>
              </w:rPr>
              <w:t>21</w:t>
            </w:r>
            <w:r w:rsidRPr="00691A44">
              <w:rPr>
                <w:rFonts w:ascii="Times New Roman" w:hAnsi="Times New Roman" w:cs="Times New Roman"/>
                <w:sz w:val="18"/>
              </w:rPr>
              <w:t xml:space="preserve"> по 31.12.20</w:t>
            </w:r>
            <w:r w:rsidR="005E7695">
              <w:rPr>
                <w:rFonts w:ascii="Times New Roman" w:hAnsi="Times New Roman" w:cs="Times New Roman"/>
                <w:sz w:val="18"/>
              </w:rPr>
              <w:t>21</w:t>
            </w:r>
            <w:r w:rsidRPr="00691A44">
              <w:rPr>
                <w:rFonts w:ascii="Times New Roman" w:hAnsi="Times New Roman" w:cs="Times New Roman"/>
                <w:sz w:val="18"/>
              </w:rPr>
              <w:t xml:space="preserve"> – </w:t>
            </w:r>
            <w:r w:rsidR="005E7695">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5E7695">
              <w:rPr>
                <w:rFonts w:ascii="Times New Roman" w:hAnsi="Times New Roman" w:cs="Times New Roman"/>
                <w:sz w:val="18"/>
              </w:rPr>
              <w:t>21</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863540" w:rsidP="009C69EE">
            <w:pPr>
              <w:jc w:val="both"/>
              <w:rPr>
                <w:rFonts w:ascii="Times New Roman" w:hAnsi="Times New Roman" w:cs="Times New Roman"/>
                <w:sz w:val="24"/>
                <w:szCs w:val="24"/>
              </w:rPr>
            </w:pPr>
            <w:r>
              <w:rPr>
                <w:rFonts w:ascii="Times New Roman" w:hAnsi="Times New Roman" w:cs="Times New Roman"/>
                <w:sz w:val="24"/>
                <w:szCs w:val="24"/>
              </w:rPr>
              <w:t xml:space="preserve">В действующую линию хозяйственно-бытовой канализации, труба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 xml:space="preserve">. </w:t>
            </w:r>
            <w:r w:rsidRPr="00863540">
              <w:rPr>
                <w:rFonts w:ascii="Times New Roman" w:hAnsi="Times New Roman" w:cs="Times New Roman"/>
                <w:sz w:val="24"/>
                <w:szCs w:val="24"/>
              </w:rPr>
              <w:t xml:space="preserve">ø </w:t>
            </w:r>
            <w:r>
              <w:rPr>
                <w:rFonts w:ascii="Times New Roman" w:hAnsi="Times New Roman" w:cs="Times New Roman"/>
                <w:sz w:val="24"/>
                <w:szCs w:val="24"/>
              </w:rPr>
              <w:t>160 мм по ул. Гришина. Центральная линия канализации проходит в радиусе 55 м от границы земельного участка. Максимальная нагрузка в точке подключения ориентировочно составляет 30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61DA8">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4834E2" w:rsidP="0011794B">
            <w:pPr>
              <w:pStyle w:val="western"/>
              <w:shd w:val="clear" w:color="auto" w:fill="FFFFFF"/>
              <w:jc w:val="both"/>
              <w:rPr>
                <w:sz w:val="28"/>
                <w:szCs w:val="28"/>
              </w:rPr>
            </w:pPr>
            <w:r>
              <w:t>Сети газоснабжения отсутствуют.</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495636A7"/>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abstractNum w:abstractNumId="3"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C3FD8"/>
    <w:rsid w:val="000C4DAD"/>
    <w:rsid w:val="000D56E5"/>
    <w:rsid w:val="000E0DFE"/>
    <w:rsid w:val="000E2454"/>
    <w:rsid w:val="000E3479"/>
    <w:rsid w:val="000E5160"/>
    <w:rsid w:val="000F62C3"/>
    <w:rsid w:val="00112E65"/>
    <w:rsid w:val="00116BEA"/>
    <w:rsid w:val="0011794B"/>
    <w:rsid w:val="00117A89"/>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534AF"/>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64DF9"/>
    <w:rsid w:val="0047041B"/>
    <w:rsid w:val="004834E2"/>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64EE6"/>
    <w:rsid w:val="005757FE"/>
    <w:rsid w:val="005A41FF"/>
    <w:rsid w:val="005A4E9B"/>
    <w:rsid w:val="005B158E"/>
    <w:rsid w:val="005B3AB4"/>
    <w:rsid w:val="005D57C0"/>
    <w:rsid w:val="005E7695"/>
    <w:rsid w:val="005F3F7B"/>
    <w:rsid w:val="005F4747"/>
    <w:rsid w:val="005F6ADD"/>
    <w:rsid w:val="006019B1"/>
    <w:rsid w:val="0060312F"/>
    <w:rsid w:val="0060321E"/>
    <w:rsid w:val="006051CF"/>
    <w:rsid w:val="00617B05"/>
    <w:rsid w:val="0062585C"/>
    <w:rsid w:val="006478B4"/>
    <w:rsid w:val="00650F82"/>
    <w:rsid w:val="0066117E"/>
    <w:rsid w:val="0067046F"/>
    <w:rsid w:val="00675984"/>
    <w:rsid w:val="006808E6"/>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7C08BE"/>
    <w:rsid w:val="00801F7F"/>
    <w:rsid w:val="00807717"/>
    <w:rsid w:val="00823500"/>
    <w:rsid w:val="008419A5"/>
    <w:rsid w:val="008558C9"/>
    <w:rsid w:val="00863540"/>
    <w:rsid w:val="00863C8A"/>
    <w:rsid w:val="008642EB"/>
    <w:rsid w:val="00867697"/>
    <w:rsid w:val="00870D4F"/>
    <w:rsid w:val="008911BC"/>
    <w:rsid w:val="008955A2"/>
    <w:rsid w:val="008A0290"/>
    <w:rsid w:val="008B3C15"/>
    <w:rsid w:val="008E7793"/>
    <w:rsid w:val="009023D1"/>
    <w:rsid w:val="00916AB1"/>
    <w:rsid w:val="009336B8"/>
    <w:rsid w:val="00951F09"/>
    <w:rsid w:val="00952901"/>
    <w:rsid w:val="00955EE9"/>
    <w:rsid w:val="0096039F"/>
    <w:rsid w:val="00961DA8"/>
    <w:rsid w:val="00965D5F"/>
    <w:rsid w:val="009664F3"/>
    <w:rsid w:val="0098723C"/>
    <w:rsid w:val="009C1F91"/>
    <w:rsid w:val="009C69EE"/>
    <w:rsid w:val="009D09A2"/>
    <w:rsid w:val="00A03BAF"/>
    <w:rsid w:val="00A42E8F"/>
    <w:rsid w:val="00A80CE8"/>
    <w:rsid w:val="00A844BB"/>
    <w:rsid w:val="00A94811"/>
    <w:rsid w:val="00AA531C"/>
    <w:rsid w:val="00AC0D08"/>
    <w:rsid w:val="00AD0BE4"/>
    <w:rsid w:val="00AD757E"/>
    <w:rsid w:val="00B360F8"/>
    <w:rsid w:val="00B3771E"/>
    <w:rsid w:val="00B44CAB"/>
    <w:rsid w:val="00B57078"/>
    <w:rsid w:val="00B57968"/>
    <w:rsid w:val="00B60392"/>
    <w:rsid w:val="00B733C8"/>
    <w:rsid w:val="00B73551"/>
    <w:rsid w:val="00B75584"/>
    <w:rsid w:val="00BA1E7C"/>
    <w:rsid w:val="00BE538A"/>
    <w:rsid w:val="00C04374"/>
    <w:rsid w:val="00C23D72"/>
    <w:rsid w:val="00C25F50"/>
    <w:rsid w:val="00C309E0"/>
    <w:rsid w:val="00C35710"/>
    <w:rsid w:val="00C552B5"/>
    <w:rsid w:val="00C57CB2"/>
    <w:rsid w:val="00C60319"/>
    <w:rsid w:val="00C60BD7"/>
    <w:rsid w:val="00C7530C"/>
    <w:rsid w:val="00C76FC0"/>
    <w:rsid w:val="00CA1C00"/>
    <w:rsid w:val="00CA6CB4"/>
    <w:rsid w:val="00CC00F6"/>
    <w:rsid w:val="00CC1983"/>
    <w:rsid w:val="00CD45F5"/>
    <w:rsid w:val="00CF0560"/>
    <w:rsid w:val="00D011D8"/>
    <w:rsid w:val="00D03FE2"/>
    <w:rsid w:val="00D12D16"/>
    <w:rsid w:val="00D439EE"/>
    <w:rsid w:val="00D91498"/>
    <w:rsid w:val="00D96901"/>
    <w:rsid w:val="00D97D0B"/>
    <w:rsid w:val="00DA393E"/>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8595A"/>
    <w:rsid w:val="00E93932"/>
    <w:rsid w:val="00EA2D0F"/>
    <w:rsid w:val="00ED615C"/>
    <w:rsid w:val="00EF238B"/>
    <w:rsid w:val="00F1671A"/>
    <w:rsid w:val="00F40538"/>
    <w:rsid w:val="00F52E87"/>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C279-90BB-4D5A-B927-87036C42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5</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223</cp:revision>
  <cp:lastPrinted>2018-08-10T11:22:00Z</cp:lastPrinted>
  <dcterms:created xsi:type="dcterms:W3CDTF">2019-03-11T10:51:00Z</dcterms:created>
  <dcterms:modified xsi:type="dcterms:W3CDTF">2021-07-20T11:46:00Z</dcterms:modified>
</cp:coreProperties>
</file>