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F9" w:rsidRDefault="006E52DB" w:rsidP="00EE06F9">
      <w:pPr>
        <w:rPr>
          <w:szCs w:val="28"/>
        </w:rPr>
      </w:pPr>
      <w:r>
        <w:rPr>
          <w:szCs w:val="28"/>
        </w:rPr>
        <w:t xml:space="preserve">              </w:t>
      </w:r>
    </w:p>
    <w:p w:rsidR="002768EA" w:rsidRDefault="002768EA" w:rsidP="006E52DB">
      <w:pPr>
        <w:pStyle w:val="ad"/>
        <w:jc w:val="center"/>
      </w:pPr>
      <w:r>
        <w:rPr>
          <w:noProof/>
        </w:rPr>
        <w:drawing>
          <wp:inline distT="0" distB="0" distL="0" distR="0">
            <wp:extent cx="944331" cy="1091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70" cy="11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A" w:rsidRDefault="002768EA" w:rsidP="002768EA">
      <w:pPr>
        <w:pStyle w:val="ab"/>
      </w:pPr>
      <w:r>
        <w:t>ПОСТАНОВЛЕНИЕ</w:t>
      </w:r>
    </w:p>
    <w:p w:rsidR="002768EA" w:rsidRDefault="002768EA" w:rsidP="002768EA">
      <w:pPr>
        <w:pStyle w:val="ab"/>
      </w:pPr>
      <w:r>
        <w:t xml:space="preserve">АДМИНИСТРАЦИИ </w:t>
      </w:r>
    </w:p>
    <w:p w:rsidR="002768EA" w:rsidRDefault="002768EA" w:rsidP="002768EA">
      <w:pPr>
        <w:pStyle w:val="ab"/>
      </w:pPr>
      <w:r>
        <w:t xml:space="preserve"> КОТЕЛЬНИКОВСКОГО ГОРОДСКОГО ПОСЕЛЕНИЯ</w:t>
      </w:r>
    </w:p>
    <w:p w:rsidR="002768EA" w:rsidRDefault="002768EA" w:rsidP="002768EA">
      <w:pPr>
        <w:rPr>
          <w:b/>
        </w:rPr>
      </w:pPr>
      <w:r>
        <w:rPr>
          <w:b/>
        </w:rPr>
        <w:t>КОТЕЛЬНИКОВСКОГО МУНИЦИПАЛЬНОГО   РАЙОНА</w:t>
      </w:r>
    </w:p>
    <w:p w:rsidR="002768EA" w:rsidRDefault="002768EA" w:rsidP="002768EA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2768EA" w:rsidRDefault="002768EA" w:rsidP="002768EA">
      <w:pPr>
        <w:pBdr>
          <w:bottom w:val="double" w:sz="18" w:space="1" w:color="auto"/>
        </w:pBdr>
        <w:rPr>
          <w:b/>
          <w:sz w:val="20"/>
        </w:rPr>
      </w:pPr>
    </w:p>
    <w:p w:rsidR="002768EA" w:rsidRPr="004302DE" w:rsidRDefault="005C6342" w:rsidP="002768EA">
      <w:pPr>
        <w:tabs>
          <w:tab w:val="left" w:pos="1335"/>
        </w:tabs>
        <w:rPr>
          <w:b/>
          <w:sz w:val="24"/>
        </w:rPr>
      </w:pPr>
      <w:r w:rsidRPr="004302DE">
        <w:rPr>
          <w:b/>
          <w:sz w:val="24"/>
        </w:rPr>
        <w:t>О</w:t>
      </w:r>
      <w:r w:rsidR="0027364E" w:rsidRPr="004302DE">
        <w:rPr>
          <w:b/>
          <w:sz w:val="24"/>
        </w:rPr>
        <w:t>т</w:t>
      </w:r>
      <w:r>
        <w:rPr>
          <w:b/>
          <w:sz w:val="24"/>
        </w:rPr>
        <w:t xml:space="preserve">    </w:t>
      </w:r>
      <w:r w:rsidR="0027364E" w:rsidRPr="004302DE">
        <w:rPr>
          <w:b/>
          <w:sz w:val="24"/>
        </w:rPr>
        <w:t xml:space="preserve"> </w:t>
      </w:r>
      <w:r w:rsidR="006428A8">
        <w:rPr>
          <w:b/>
          <w:sz w:val="24"/>
        </w:rPr>
        <w:t>12</w:t>
      </w:r>
      <w:r w:rsidR="004302DE" w:rsidRPr="004302DE">
        <w:rPr>
          <w:b/>
          <w:sz w:val="24"/>
        </w:rPr>
        <w:t>.01.2022</w:t>
      </w:r>
      <w:r w:rsidR="0027364E" w:rsidRPr="004302DE">
        <w:rPr>
          <w:b/>
          <w:sz w:val="24"/>
        </w:rPr>
        <w:t xml:space="preserve">                        </w:t>
      </w:r>
      <w:r w:rsidR="004302DE" w:rsidRPr="004302DE">
        <w:rPr>
          <w:b/>
          <w:sz w:val="24"/>
        </w:rPr>
        <w:t xml:space="preserve">                                                             </w:t>
      </w:r>
      <w:r w:rsidR="006428A8">
        <w:rPr>
          <w:b/>
          <w:sz w:val="24"/>
        </w:rPr>
        <w:t xml:space="preserve">   </w:t>
      </w:r>
      <w:r w:rsidR="004302DE">
        <w:rPr>
          <w:b/>
          <w:sz w:val="24"/>
        </w:rPr>
        <w:t xml:space="preserve">                </w:t>
      </w:r>
      <w:r w:rsidR="004302DE" w:rsidRPr="004302DE">
        <w:rPr>
          <w:b/>
          <w:sz w:val="24"/>
        </w:rPr>
        <w:t xml:space="preserve">    </w:t>
      </w:r>
      <w:r w:rsidR="0027364E" w:rsidRPr="004302DE">
        <w:rPr>
          <w:b/>
          <w:sz w:val="24"/>
        </w:rPr>
        <w:t xml:space="preserve"> </w:t>
      </w:r>
      <w:proofErr w:type="gramStart"/>
      <w:r w:rsidR="0027364E" w:rsidRPr="004302DE">
        <w:rPr>
          <w:b/>
          <w:sz w:val="24"/>
        </w:rPr>
        <w:t xml:space="preserve">№ </w:t>
      </w:r>
      <w:r w:rsidR="004302DE" w:rsidRPr="004302DE">
        <w:rPr>
          <w:b/>
          <w:sz w:val="24"/>
        </w:rPr>
        <w:t xml:space="preserve"> </w:t>
      </w:r>
      <w:r w:rsidR="006428A8">
        <w:rPr>
          <w:b/>
          <w:sz w:val="24"/>
        </w:rPr>
        <w:t>14</w:t>
      </w:r>
      <w:proofErr w:type="gramEnd"/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>Об утверждении значений базовых норматив</w:t>
      </w:r>
      <w:r w:rsidR="00802884" w:rsidRPr="00A3751A">
        <w:rPr>
          <w:sz w:val="24"/>
        </w:rPr>
        <w:t>ов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>затрат на оказание муниципальных услуг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 (выполнение работ) в отношении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 муниципальных</w:t>
      </w:r>
      <w:r w:rsidR="00802884" w:rsidRPr="00A3751A">
        <w:rPr>
          <w:sz w:val="24"/>
        </w:rPr>
        <w:t xml:space="preserve"> бюджетных </w:t>
      </w:r>
      <w:r w:rsidRPr="00A3751A">
        <w:rPr>
          <w:sz w:val="24"/>
        </w:rPr>
        <w:t xml:space="preserve"> учреждений</w:t>
      </w:r>
    </w:p>
    <w:p w:rsidR="002768EA" w:rsidRPr="00A3751A" w:rsidRDefault="002768EA" w:rsidP="002768EA">
      <w:pPr>
        <w:rPr>
          <w:sz w:val="24"/>
        </w:rPr>
      </w:pPr>
      <w:r w:rsidRPr="00A3751A">
        <w:rPr>
          <w:sz w:val="24"/>
        </w:rPr>
        <w:t xml:space="preserve"> Котельниковского городского поселения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 Котельниковского муниципального района </w:t>
      </w:r>
    </w:p>
    <w:p w:rsidR="002768EA" w:rsidRPr="00A3751A" w:rsidRDefault="00886113" w:rsidP="002768EA">
      <w:pPr>
        <w:rPr>
          <w:sz w:val="24"/>
        </w:rPr>
      </w:pPr>
      <w:r w:rsidRPr="00A3751A">
        <w:rPr>
          <w:sz w:val="24"/>
        </w:rPr>
        <w:t xml:space="preserve">Волгоградской области и </w:t>
      </w:r>
      <w:r w:rsidR="006D7040" w:rsidRPr="00A3751A">
        <w:rPr>
          <w:sz w:val="24"/>
        </w:rPr>
        <w:t xml:space="preserve">коэффициентов выравнивания, </w:t>
      </w:r>
    </w:p>
    <w:p w:rsidR="002768EA" w:rsidRPr="00A3751A" w:rsidRDefault="006D7040" w:rsidP="002768EA">
      <w:pPr>
        <w:rPr>
          <w:sz w:val="24"/>
        </w:rPr>
      </w:pPr>
      <w:r w:rsidRPr="00A3751A">
        <w:rPr>
          <w:sz w:val="24"/>
        </w:rPr>
        <w:t xml:space="preserve">учитывающих объем бюджетных ассигнований </w:t>
      </w:r>
    </w:p>
    <w:p w:rsidR="00886113" w:rsidRDefault="006D7040" w:rsidP="002768EA">
      <w:pPr>
        <w:rPr>
          <w:sz w:val="24"/>
        </w:rPr>
      </w:pPr>
      <w:r w:rsidRPr="00A3751A">
        <w:rPr>
          <w:sz w:val="24"/>
        </w:rPr>
        <w:t>и доведенных лимитов бюджетных обязательств</w:t>
      </w:r>
    </w:p>
    <w:p w:rsidR="00A6482F" w:rsidRPr="00A3751A" w:rsidRDefault="004302DE" w:rsidP="002768EA">
      <w:pPr>
        <w:rPr>
          <w:sz w:val="24"/>
        </w:rPr>
      </w:pPr>
      <w:r>
        <w:rPr>
          <w:sz w:val="24"/>
        </w:rPr>
        <w:t>на 2022</w:t>
      </w:r>
      <w:r w:rsidR="00A6482F">
        <w:rPr>
          <w:sz w:val="24"/>
        </w:rPr>
        <w:t xml:space="preserve"> год</w:t>
      </w:r>
    </w:p>
    <w:p w:rsidR="00DC4AA6" w:rsidRDefault="00DC4AA6" w:rsidP="00886113">
      <w:pPr>
        <w:pStyle w:val="ConsPlusTitle"/>
        <w:shd w:val="clear" w:color="auto" w:fill="FFFFFF"/>
        <w:ind w:firstLine="708"/>
        <w:jc w:val="both"/>
        <w:rPr>
          <w:b w:val="0"/>
          <w:sz w:val="24"/>
          <w:szCs w:val="24"/>
        </w:rPr>
      </w:pPr>
    </w:p>
    <w:p w:rsidR="00886113" w:rsidRPr="00DC4AA6" w:rsidRDefault="00886113" w:rsidP="00886113">
      <w:pPr>
        <w:pStyle w:val="ConsPlusTitle"/>
        <w:shd w:val="clear" w:color="auto" w:fill="FFFFFF"/>
        <w:ind w:firstLine="708"/>
        <w:jc w:val="both"/>
        <w:rPr>
          <w:b w:val="0"/>
          <w:sz w:val="24"/>
          <w:szCs w:val="24"/>
        </w:rPr>
      </w:pPr>
      <w:r w:rsidRPr="00DC4AA6">
        <w:rPr>
          <w:b w:val="0"/>
          <w:sz w:val="24"/>
          <w:szCs w:val="24"/>
        </w:rPr>
        <w:t xml:space="preserve">В соответствии </w:t>
      </w:r>
      <w:r w:rsidR="00BA04A2" w:rsidRPr="00DC4AA6">
        <w:rPr>
          <w:b w:val="0"/>
          <w:sz w:val="24"/>
          <w:szCs w:val="24"/>
        </w:rPr>
        <w:t xml:space="preserve">с </w:t>
      </w:r>
      <w:r w:rsidR="006D7040" w:rsidRPr="00DC4AA6">
        <w:rPr>
          <w:b w:val="0"/>
          <w:sz w:val="24"/>
          <w:szCs w:val="24"/>
        </w:rPr>
        <w:t xml:space="preserve">Бюджетным кодексом Российской Федерации, </w:t>
      </w:r>
      <w:r w:rsidR="00BA04A2" w:rsidRPr="00DC4AA6">
        <w:rPr>
          <w:b w:val="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768EA" w:rsidRPr="00DC4AA6">
        <w:rPr>
          <w:b w:val="0"/>
          <w:sz w:val="24"/>
          <w:szCs w:val="24"/>
        </w:rPr>
        <w:t xml:space="preserve">Котельниковского городского поселения </w:t>
      </w:r>
      <w:r w:rsidR="00BA04A2" w:rsidRPr="00DC4AA6">
        <w:rPr>
          <w:b w:val="0"/>
          <w:sz w:val="24"/>
          <w:szCs w:val="24"/>
        </w:rPr>
        <w:t xml:space="preserve">Котельниковского муниципального района Волгоградской области, </w:t>
      </w:r>
      <w:r w:rsidRPr="00DC4AA6">
        <w:rPr>
          <w:b w:val="0"/>
          <w:sz w:val="24"/>
          <w:szCs w:val="24"/>
        </w:rPr>
        <w:t>постановлением администрации</w:t>
      </w:r>
      <w:r w:rsidR="002768EA" w:rsidRPr="00DC4AA6">
        <w:rPr>
          <w:b w:val="0"/>
          <w:sz w:val="24"/>
          <w:szCs w:val="24"/>
        </w:rPr>
        <w:t xml:space="preserve"> Котельниковского городского поселения</w:t>
      </w:r>
      <w:r w:rsidRPr="00DC4AA6">
        <w:rPr>
          <w:b w:val="0"/>
          <w:sz w:val="24"/>
          <w:szCs w:val="24"/>
        </w:rPr>
        <w:t xml:space="preserve"> Котельниковского муниципального района Волгоградской области </w:t>
      </w:r>
      <w:r w:rsidR="002150CE" w:rsidRPr="00DC4AA6">
        <w:rPr>
          <w:b w:val="0"/>
          <w:sz w:val="24"/>
          <w:szCs w:val="24"/>
        </w:rPr>
        <w:t>от 11.03.</w:t>
      </w:r>
      <w:r w:rsidRPr="00DC4AA6">
        <w:rPr>
          <w:b w:val="0"/>
          <w:sz w:val="24"/>
          <w:szCs w:val="24"/>
        </w:rPr>
        <w:t>201</w:t>
      </w:r>
      <w:r w:rsidR="002768EA" w:rsidRPr="00DC4AA6">
        <w:rPr>
          <w:b w:val="0"/>
          <w:sz w:val="24"/>
          <w:szCs w:val="24"/>
        </w:rPr>
        <w:t xml:space="preserve">6 г. № </w:t>
      </w:r>
      <w:r w:rsidR="002768EA" w:rsidRPr="0061069B">
        <w:rPr>
          <w:b w:val="0"/>
          <w:sz w:val="24"/>
          <w:szCs w:val="24"/>
        </w:rPr>
        <w:t>174</w:t>
      </w:r>
      <w:r w:rsidRPr="00DC4AA6">
        <w:rPr>
          <w:b w:val="0"/>
          <w:sz w:val="24"/>
          <w:szCs w:val="24"/>
        </w:rPr>
        <w:t xml:space="preserve"> «Об утверждении Положения о порядке определения нормативных затрат на оказание муниципальных услуг (выполнение работ), применяемых при расчете объема финансового обеспечения выполнения муниципального задания на оказание муниципальных услуг (выполнение работ),  муниципальными </w:t>
      </w:r>
      <w:r w:rsidR="00453D38" w:rsidRPr="00DC4AA6">
        <w:rPr>
          <w:b w:val="0"/>
          <w:sz w:val="24"/>
          <w:szCs w:val="24"/>
        </w:rPr>
        <w:t xml:space="preserve">бюджетными </w:t>
      </w:r>
      <w:r w:rsidRPr="00DC4AA6">
        <w:rPr>
          <w:b w:val="0"/>
          <w:sz w:val="24"/>
          <w:szCs w:val="24"/>
        </w:rPr>
        <w:t xml:space="preserve">учреждениями </w:t>
      </w:r>
      <w:r w:rsidR="002768EA" w:rsidRPr="00DC4AA6">
        <w:rPr>
          <w:b w:val="0"/>
          <w:sz w:val="24"/>
          <w:szCs w:val="24"/>
        </w:rPr>
        <w:t xml:space="preserve">Котельниковского городского поселения </w:t>
      </w:r>
      <w:r w:rsidRPr="00DC4AA6">
        <w:rPr>
          <w:b w:val="0"/>
          <w:sz w:val="24"/>
          <w:szCs w:val="24"/>
        </w:rPr>
        <w:t>Котельниковского муниципального района Волгоградской области»</w:t>
      </w:r>
      <w:r w:rsidR="009D34DD">
        <w:rPr>
          <w:b w:val="0"/>
          <w:sz w:val="24"/>
          <w:szCs w:val="24"/>
        </w:rPr>
        <w:t xml:space="preserve"> </w:t>
      </w:r>
      <w:r w:rsidRPr="00DC4AA6">
        <w:rPr>
          <w:b w:val="0"/>
          <w:sz w:val="24"/>
          <w:szCs w:val="24"/>
        </w:rPr>
        <w:t xml:space="preserve">администрация </w:t>
      </w:r>
      <w:r w:rsidR="002768EA" w:rsidRPr="00DC4AA6">
        <w:rPr>
          <w:b w:val="0"/>
          <w:sz w:val="24"/>
          <w:szCs w:val="24"/>
        </w:rPr>
        <w:t>Котельниковского городского поселения</w:t>
      </w:r>
      <w:r w:rsidRPr="00DC4AA6">
        <w:rPr>
          <w:b w:val="0"/>
          <w:sz w:val="24"/>
          <w:szCs w:val="24"/>
        </w:rPr>
        <w:t>Котельниковского муниципального района Волгоградской области постановляет:</w:t>
      </w:r>
    </w:p>
    <w:p w:rsidR="00DC4AA6" w:rsidRDefault="00DC4AA6" w:rsidP="00886113">
      <w:pPr>
        <w:ind w:firstLine="708"/>
        <w:jc w:val="both"/>
        <w:rPr>
          <w:sz w:val="24"/>
        </w:rPr>
      </w:pPr>
    </w:p>
    <w:p w:rsidR="00886113" w:rsidRPr="00AA1F84" w:rsidRDefault="00886113" w:rsidP="00AA1F84">
      <w:pPr>
        <w:pStyle w:val="ac"/>
        <w:numPr>
          <w:ilvl w:val="0"/>
          <w:numId w:val="4"/>
        </w:numPr>
        <w:jc w:val="both"/>
        <w:rPr>
          <w:sz w:val="24"/>
        </w:rPr>
      </w:pPr>
      <w:r w:rsidRPr="00AA1F84">
        <w:rPr>
          <w:sz w:val="24"/>
        </w:rPr>
        <w:t xml:space="preserve">Утвердить прилагаемые </w:t>
      </w:r>
      <w:r w:rsidR="00EB4ABF" w:rsidRPr="00AA1F84">
        <w:rPr>
          <w:sz w:val="24"/>
        </w:rPr>
        <w:t>значения</w:t>
      </w:r>
      <w:r w:rsidR="00802884" w:rsidRPr="00AA1F84">
        <w:rPr>
          <w:sz w:val="24"/>
        </w:rPr>
        <w:t xml:space="preserve"> базовых нормативов затрат на оказание муниципальных услуг (выполнение работ) в отношении муниципальных бюджетных учреждений</w:t>
      </w:r>
      <w:r w:rsidR="002150CE" w:rsidRPr="00AA1F84">
        <w:rPr>
          <w:sz w:val="24"/>
        </w:rPr>
        <w:t xml:space="preserve"> Котельниковского городского поселения</w:t>
      </w:r>
      <w:r w:rsidR="00802884" w:rsidRPr="00AA1F84">
        <w:rPr>
          <w:sz w:val="24"/>
        </w:rPr>
        <w:t xml:space="preserve"> Котельниковского муниципального района Волгоградской области и коэффициентов выравнивания, учитывающих объем бюджетных ассигнований и доведенных лимитов бюджетных обязательств</w:t>
      </w:r>
      <w:r w:rsidRPr="00AA1F84">
        <w:rPr>
          <w:sz w:val="24"/>
        </w:rPr>
        <w:t>.</w:t>
      </w:r>
    </w:p>
    <w:p w:rsidR="00AA1F84" w:rsidRPr="00AA1F84" w:rsidRDefault="00AA1F84" w:rsidP="00AA1F84">
      <w:pPr>
        <w:ind w:left="708"/>
        <w:jc w:val="both"/>
        <w:rPr>
          <w:sz w:val="24"/>
        </w:rPr>
      </w:pPr>
    </w:p>
    <w:p w:rsidR="00AA1F84" w:rsidRPr="00AA1F84" w:rsidRDefault="00AA1F84" w:rsidP="00AA1F84">
      <w:pPr>
        <w:ind w:left="708"/>
        <w:jc w:val="both"/>
        <w:rPr>
          <w:sz w:val="24"/>
        </w:rPr>
      </w:pPr>
      <w:r w:rsidRPr="00AA1F84">
        <w:rPr>
          <w:sz w:val="24"/>
        </w:rPr>
        <w:t>– МБУ «БЛАГОУСТРОЙСТВО»</w:t>
      </w:r>
    </w:p>
    <w:p w:rsidR="00AA1F84" w:rsidRPr="00AA1F84" w:rsidRDefault="00AA1F84" w:rsidP="00AA1F84">
      <w:pPr>
        <w:ind w:left="708"/>
        <w:jc w:val="both"/>
        <w:rPr>
          <w:sz w:val="24"/>
        </w:rPr>
      </w:pPr>
      <w:r w:rsidRPr="00AA1F84">
        <w:rPr>
          <w:sz w:val="24"/>
        </w:rPr>
        <w:t>– МБУ «Дом Культуры»</w:t>
      </w:r>
    </w:p>
    <w:p w:rsidR="00DC4AA6" w:rsidRDefault="00DC4AA6" w:rsidP="002D1E9E">
      <w:pPr>
        <w:jc w:val="both"/>
        <w:rPr>
          <w:sz w:val="24"/>
        </w:rPr>
      </w:pPr>
    </w:p>
    <w:p w:rsidR="002D1E9E" w:rsidRPr="00DC4AA6" w:rsidRDefault="002768EA" w:rsidP="002D1E9E">
      <w:pPr>
        <w:jc w:val="both"/>
        <w:rPr>
          <w:sz w:val="24"/>
        </w:rPr>
      </w:pPr>
      <w:r w:rsidRPr="00DC4AA6">
        <w:rPr>
          <w:sz w:val="24"/>
        </w:rPr>
        <w:t>2</w:t>
      </w:r>
      <w:r w:rsidR="00886113" w:rsidRPr="00DC4AA6">
        <w:rPr>
          <w:sz w:val="24"/>
        </w:rPr>
        <w:t>.</w:t>
      </w:r>
      <w:r w:rsidR="002D1E9E" w:rsidRPr="00DC4AA6">
        <w:rPr>
          <w:sz w:val="24"/>
        </w:rPr>
        <w:t>Настоящее постановление вступает в силу с момента его подписания</w:t>
      </w:r>
      <w:r w:rsidR="00A3751A" w:rsidRPr="00DC4AA6">
        <w:rPr>
          <w:sz w:val="24"/>
        </w:rPr>
        <w:t xml:space="preserve"> и</w:t>
      </w:r>
      <w:r w:rsidR="00C80083">
        <w:rPr>
          <w:sz w:val="24"/>
        </w:rPr>
        <w:t xml:space="preserve"> </w:t>
      </w:r>
      <w:r w:rsidR="002D1E9E" w:rsidRPr="00DC4AA6">
        <w:rPr>
          <w:sz w:val="24"/>
        </w:rPr>
        <w:t xml:space="preserve">подлежит обнародованию  на сайте </w:t>
      </w:r>
      <w:r w:rsidR="00A3751A" w:rsidRPr="00DC4AA6">
        <w:rPr>
          <w:sz w:val="24"/>
        </w:rPr>
        <w:t xml:space="preserve"> Администрации </w:t>
      </w:r>
      <w:proofErr w:type="spellStart"/>
      <w:r w:rsidR="002D1E9E" w:rsidRPr="00DC4AA6">
        <w:rPr>
          <w:sz w:val="24"/>
          <w:lang w:val="en-US"/>
        </w:rPr>
        <w:t>akgp</w:t>
      </w:r>
      <w:proofErr w:type="spellEnd"/>
      <w:r w:rsidR="002D1E9E" w:rsidRPr="00DC4AA6">
        <w:rPr>
          <w:sz w:val="24"/>
        </w:rPr>
        <w:t>.</w:t>
      </w:r>
      <w:proofErr w:type="spellStart"/>
      <w:r w:rsidR="002D1E9E" w:rsidRPr="00DC4AA6">
        <w:rPr>
          <w:sz w:val="24"/>
          <w:lang w:val="en-US"/>
        </w:rPr>
        <w:t>ru</w:t>
      </w:r>
      <w:proofErr w:type="spellEnd"/>
      <w:r w:rsidR="002D1E9E" w:rsidRPr="00DC4AA6">
        <w:rPr>
          <w:sz w:val="24"/>
        </w:rPr>
        <w:t xml:space="preserve"> в сети интернет.</w:t>
      </w:r>
    </w:p>
    <w:p w:rsidR="002D1E9E" w:rsidRPr="00DC4AA6" w:rsidRDefault="002D1E9E" w:rsidP="002D1E9E">
      <w:pPr>
        <w:tabs>
          <w:tab w:val="left" w:pos="3225"/>
        </w:tabs>
        <w:ind w:firstLine="567"/>
        <w:jc w:val="both"/>
        <w:rPr>
          <w:sz w:val="24"/>
        </w:rPr>
      </w:pPr>
      <w:r w:rsidRPr="00DC4AA6">
        <w:rPr>
          <w:sz w:val="24"/>
        </w:rPr>
        <w:tab/>
      </w:r>
    </w:p>
    <w:p w:rsidR="00DC4AA6" w:rsidRDefault="00DC4AA6" w:rsidP="00886113">
      <w:pPr>
        <w:ind w:firstLine="708"/>
        <w:jc w:val="both"/>
        <w:rPr>
          <w:sz w:val="24"/>
        </w:rPr>
      </w:pPr>
    </w:p>
    <w:p w:rsidR="00886113" w:rsidRPr="00DC4AA6" w:rsidRDefault="002D1E9E" w:rsidP="00886113">
      <w:pPr>
        <w:ind w:firstLine="708"/>
        <w:jc w:val="both"/>
        <w:rPr>
          <w:sz w:val="24"/>
        </w:rPr>
      </w:pPr>
      <w:r w:rsidRPr="00DC4AA6">
        <w:rPr>
          <w:sz w:val="24"/>
        </w:rPr>
        <w:t>Глава Котельниковского</w:t>
      </w:r>
    </w:p>
    <w:p w:rsidR="00EE06F9" w:rsidRDefault="002D1E9E" w:rsidP="0099184A">
      <w:pPr>
        <w:ind w:firstLine="708"/>
        <w:jc w:val="both"/>
        <w:rPr>
          <w:sz w:val="24"/>
        </w:rPr>
      </w:pPr>
      <w:r w:rsidRPr="00DC4AA6">
        <w:rPr>
          <w:sz w:val="24"/>
        </w:rPr>
        <w:t>городского поселения                                                 А.Л. Федоров</w:t>
      </w:r>
    </w:p>
    <w:p w:rsidR="0099184A" w:rsidRPr="00DC4AA6" w:rsidRDefault="0099184A" w:rsidP="0099184A">
      <w:pPr>
        <w:ind w:firstLine="708"/>
        <w:jc w:val="both"/>
        <w:rPr>
          <w:sz w:val="24"/>
        </w:rPr>
      </w:pPr>
    </w:p>
    <w:p w:rsidR="00EB4ABF" w:rsidRPr="00DC4AA6" w:rsidRDefault="00EB4ABF" w:rsidP="00EE06F9">
      <w:pPr>
        <w:jc w:val="both"/>
        <w:rPr>
          <w:sz w:val="24"/>
        </w:rPr>
      </w:pPr>
    </w:p>
    <w:p w:rsidR="00EB4ABF" w:rsidRPr="00DC4AA6" w:rsidRDefault="00EB4ABF" w:rsidP="00EE06F9">
      <w:pPr>
        <w:jc w:val="both"/>
        <w:rPr>
          <w:sz w:val="24"/>
        </w:rPr>
      </w:pPr>
    </w:p>
    <w:tbl>
      <w:tblPr>
        <w:tblW w:w="2126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2D1E9E" w:rsidTr="002D1E9E">
        <w:trPr>
          <w:trHeight w:val="674"/>
        </w:trPr>
        <w:tc>
          <w:tcPr>
            <w:tcW w:w="2126" w:type="dxa"/>
          </w:tcPr>
          <w:p w:rsidR="002D1E9E" w:rsidRPr="00ED7470" w:rsidRDefault="002D1E9E" w:rsidP="00630584">
            <w:pPr>
              <w:jc w:val="both"/>
              <w:rPr>
                <w:kern w:val="28"/>
              </w:rPr>
            </w:pPr>
          </w:p>
          <w:p w:rsidR="002D1E9E" w:rsidRPr="00ED7470" w:rsidRDefault="002D1E9E" w:rsidP="00630584">
            <w:pPr>
              <w:jc w:val="both"/>
              <w:rPr>
                <w:kern w:val="28"/>
              </w:rPr>
            </w:pPr>
          </w:p>
        </w:tc>
      </w:tr>
    </w:tbl>
    <w:p w:rsidR="00886113" w:rsidRDefault="00886113" w:rsidP="00EE06F9">
      <w:pPr>
        <w:jc w:val="both"/>
        <w:sectPr w:rsidR="00886113" w:rsidSect="00AA1F84">
          <w:pgSz w:w="11906" w:h="16838"/>
          <w:pgMar w:top="340" w:right="1276" w:bottom="346" w:left="1559" w:header="709" w:footer="709" w:gutter="0"/>
          <w:cols w:space="708"/>
          <w:docGrid w:linePitch="381"/>
        </w:sectPr>
      </w:pPr>
    </w:p>
    <w:tbl>
      <w:tblPr>
        <w:tblStyle w:val="a5"/>
        <w:tblpPr w:leftFromText="180" w:rightFromText="180" w:vertAnchor="text" w:horzAnchor="page" w:tblpX="11353" w:tblpY="-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886113" w:rsidTr="00886113">
        <w:tc>
          <w:tcPr>
            <w:tcW w:w="4504" w:type="dxa"/>
          </w:tcPr>
          <w:p w:rsidR="00A01164" w:rsidRDefault="00A01164" w:rsidP="00886113">
            <w:pPr>
              <w:rPr>
                <w:szCs w:val="28"/>
              </w:rPr>
            </w:pPr>
          </w:p>
          <w:p w:rsidR="00886113" w:rsidRPr="00786A10" w:rsidRDefault="00886113" w:rsidP="00886113">
            <w:pPr>
              <w:rPr>
                <w:szCs w:val="28"/>
              </w:rPr>
            </w:pPr>
            <w:r w:rsidRPr="00786A10">
              <w:rPr>
                <w:szCs w:val="28"/>
              </w:rPr>
              <w:t>УТВЕЖДЕН</w:t>
            </w:r>
            <w:r>
              <w:rPr>
                <w:szCs w:val="28"/>
              </w:rPr>
              <w:t>О</w:t>
            </w:r>
          </w:p>
          <w:p w:rsidR="00886113" w:rsidRPr="00786A10" w:rsidRDefault="00886113" w:rsidP="00886113">
            <w:pPr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786A10">
              <w:rPr>
                <w:szCs w:val="28"/>
              </w:rPr>
              <w:t>администрации</w:t>
            </w:r>
          </w:p>
          <w:p w:rsidR="00886113" w:rsidRDefault="00886113" w:rsidP="002D1E9E">
            <w:pPr>
              <w:rPr>
                <w:szCs w:val="28"/>
              </w:rPr>
            </w:pPr>
            <w:proofErr w:type="spellStart"/>
            <w:proofErr w:type="gramStart"/>
            <w:r w:rsidRPr="00786A10">
              <w:rPr>
                <w:szCs w:val="28"/>
              </w:rPr>
              <w:t>Котельниковского</w:t>
            </w:r>
            <w:proofErr w:type="spellEnd"/>
            <w:r w:rsidRPr="00786A10">
              <w:rPr>
                <w:szCs w:val="28"/>
              </w:rPr>
              <w:t xml:space="preserve"> </w:t>
            </w:r>
            <w:r w:rsidR="002D1E9E">
              <w:rPr>
                <w:szCs w:val="28"/>
              </w:rPr>
              <w:t xml:space="preserve"> городского</w:t>
            </w:r>
            <w:proofErr w:type="gramEnd"/>
            <w:r w:rsidR="002D1E9E">
              <w:rPr>
                <w:szCs w:val="28"/>
              </w:rPr>
              <w:t xml:space="preserve"> поселения </w:t>
            </w:r>
            <w:r>
              <w:rPr>
                <w:szCs w:val="28"/>
              </w:rPr>
              <w:t xml:space="preserve">от </w:t>
            </w:r>
            <w:r w:rsidR="004302DE">
              <w:rPr>
                <w:szCs w:val="28"/>
              </w:rPr>
              <w:t xml:space="preserve"> </w:t>
            </w:r>
            <w:r w:rsidR="006428A8">
              <w:rPr>
                <w:szCs w:val="28"/>
              </w:rPr>
              <w:t>12</w:t>
            </w:r>
            <w:r w:rsidR="004302DE">
              <w:rPr>
                <w:szCs w:val="28"/>
              </w:rPr>
              <w:t>.01.2022</w:t>
            </w:r>
            <w:r w:rsidR="00453D38">
              <w:rPr>
                <w:szCs w:val="28"/>
              </w:rPr>
              <w:t xml:space="preserve"> г.</w:t>
            </w:r>
            <w:r w:rsidR="00DC4AA6">
              <w:rPr>
                <w:szCs w:val="28"/>
              </w:rPr>
              <w:t xml:space="preserve"> № </w:t>
            </w:r>
            <w:r w:rsidR="006428A8">
              <w:rPr>
                <w:szCs w:val="28"/>
              </w:rPr>
              <w:t>14</w:t>
            </w:r>
            <w:bookmarkStart w:id="0" w:name="_GoBack"/>
            <w:bookmarkEnd w:id="0"/>
          </w:p>
          <w:p w:rsidR="00412D13" w:rsidRDefault="00412D13" w:rsidP="002D1E9E"/>
        </w:tc>
      </w:tr>
    </w:tbl>
    <w:p w:rsidR="00EE06F9" w:rsidRDefault="00EE06F9" w:rsidP="00EE06F9">
      <w:pPr>
        <w:jc w:val="both"/>
      </w:pPr>
    </w:p>
    <w:p w:rsidR="00EE06F9" w:rsidRDefault="00EE06F9" w:rsidP="00EE06F9">
      <w:pPr>
        <w:jc w:val="both"/>
      </w:pPr>
    </w:p>
    <w:p w:rsidR="00EE06F9" w:rsidRDefault="00EE06F9" w:rsidP="00EE06F9">
      <w:pPr>
        <w:jc w:val="both"/>
      </w:pPr>
    </w:p>
    <w:p w:rsidR="00E43132" w:rsidRDefault="00E43132" w:rsidP="00EE06F9">
      <w:pPr>
        <w:jc w:val="center"/>
        <w:rPr>
          <w:sz w:val="26"/>
          <w:szCs w:val="26"/>
        </w:rPr>
      </w:pPr>
    </w:p>
    <w:p w:rsidR="00886113" w:rsidRDefault="00886113" w:rsidP="00886113"/>
    <w:p w:rsidR="00412D13" w:rsidRDefault="00412D13" w:rsidP="00412D13">
      <w:pPr>
        <w:shd w:val="clear" w:color="auto" w:fill="FFFFFF" w:themeFill="background1"/>
        <w:jc w:val="center"/>
        <w:rPr>
          <w:shd w:val="clear" w:color="auto" w:fill="FFFFFF" w:themeFill="background1"/>
        </w:rPr>
      </w:pPr>
    </w:p>
    <w:p w:rsidR="00886113" w:rsidRDefault="00886113" w:rsidP="00412D13">
      <w:pPr>
        <w:shd w:val="clear" w:color="auto" w:fill="FFFFFF" w:themeFill="background1"/>
        <w:jc w:val="center"/>
      </w:pPr>
      <w:r w:rsidRPr="002C015E">
        <w:rPr>
          <w:shd w:val="clear" w:color="auto" w:fill="FFFFFF" w:themeFill="background1"/>
        </w:rPr>
        <w:t>Значения базовых нормативов затрат на оказание муниципальных услуг (выполнение работ) в отношении муниципальных</w:t>
      </w:r>
      <w:r w:rsidR="00802884">
        <w:rPr>
          <w:shd w:val="clear" w:color="auto" w:fill="FFFFFF" w:themeFill="background1"/>
        </w:rPr>
        <w:t xml:space="preserve"> бюджетных </w:t>
      </w:r>
      <w:r w:rsidRPr="002C015E">
        <w:rPr>
          <w:shd w:val="clear" w:color="auto" w:fill="FFFFFF" w:themeFill="background1"/>
        </w:rPr>
        <w:t xml:space="preserve">учреждений </w:t>
      </w:r>
      <w:r w:rsidR="002D1E9E">
        <w:rPr>
          <w:shd w:val="clear" w:color="auto" w:fill="FFFFFF" w:themeFill="background1"/>
        </w:rPr>
        <w:t xml:space="preserve"> Котельниковского городского поселения </w:t>
      </w:r>
      <w:r w:rsidRPr="002C015E">
        <w:rPr>
          <w:shd w:val="clear" w:color="auto" w:fill="FFFFFF" w:themeFill="background1"/>
        </w:rPr>
        <w:t>Котельниковского муниципального района Волгоградской области</w:t>
      </w:r>
    </w:p>
    <w:p w:rsidR="00630584" w:rsidRPr="00630584" w:rsidRDefault="00630584" w:rsidP="00630584">
      <w:pPr>
        <w:shd w:val="clear" w:color="auto" w:fill="FFFFFF" w:themeFill="background1"/>
      </w:pPr>
    </w:p>
    <w:tbl>
      <w:tblPr>
        <w:tblStyle w:val="a5"/>
        <w:tblW w:w="0" w:type="auto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835"/>
        <w:gridCol w:w="1559"/>
        <w:gridCol w:w="1985"/>
        <w:gridCol w:w="1984"/>
        <w:gridCol w:w="4125"/>
      </w:tblGrid>
      <w:tr w:rsidR="002A222C" w:rsidRPr="00630584" w:rsidTr="00A6533C">
        <w:trPr>
          <w:trHeight w:val="2972"/>
        </w:trPr>
        <w:tc>
          <w:tcPr>
            <w:tcW w:w="709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№ п/п</w:t>
            </w:r>
          </w:p>
        </w:tc>
        <w:tc>
          <w:tcPr>
            <w:tcW w:w="2551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Наименование муниципальной услуги (выполняемой работы)</w:t>
            </w:r>
          </w:p>
        </w:tc>
        <w:tc>
          <w:tcPr>
            <w:tcW w:w="2835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Реестровый номер муниципальной услуги (выполняемой работы)</w:t>
            </w:r>
          </w:p>
        </w:tc>
        <w:tc>
          <w:tcPr>
            <w:tcW w:w="1559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Величина базового норматива затрат,</w:t>
            </w:r>
          </w:p>
          <w:p w:rsidR="002A222C" w:rsidRDefault="002A222C" w:rsidP="0063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30584">
              <w:rPr>
                <w:sz w:val="26"/>
                <w:szCs w:val="26"/>
              </w:rPr>
              <w:t>сего</w:t>
            </w:r>
          </w:p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22C" w:rsidRPr="00630584" w:rsidRDefault="002A222C" w:rsidP="002A222C">
            <w:pPr>
              <w:jc w:val="center"/>
            </w:pPr>
            <w:r w:rsidRPr="00630584">
              <w:rPr>
                <w:sz w:val="26"/>
                <w:szCs w:val="26"/>
              </w:rPr>
              <w:t>сумма затрат на оплату труда с начислениями на выпл</w:t>
            </w:r>
            <w:r>
              <w:rPr>
                <w:sz w:val="26"/>
                <w:szCs w:val="26"/>
              </w:rPr>
              <w:t>аты по оплате труда работников</w:t>
            </w:r>
            <w:r w:rsidR="00994559">
              <w:rPr>
                <w:sz w:val="26"/>
                <w:szCs w:val="26"/>
              </w:rPr>
              <w:t>, руб.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22C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суммы затрат на коммунальные услуги</w:t>
            </w:r>
            <w:r w:rsidR="00994559">
              <w:rPr>
                <w:sz w:val="26"/>
                <w:szCs w:val="26"/>
              </w:rPr>
              <w:t>,</w:t>
            </w:r>
          </w:p>
          <w:p w:rsidR="00994559" w:rsidRPr="00630584" w:rsidRDefault="00994559" w:rsidP="00630584">
            <w:pPr>
              <w:jc w:val="center"/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4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22C" w:rsidRPr="00630584" w:rsidRDefault="002A222C" w:rsidP="00630584">
            <w:pPr>
              <w:jc w:val="center"/>
            </w:pPr>
            <w:r w:rsidRPr="00701C36">
              <w:rPr>
                <w:sz w:val="26"/>
                <w:szCs w:val="26"/>
              </w:rPr>
              <w:t>сумма затрат на содержание объектов недвижимого имущества, необходимого для выполнения муниципального задания (в том числе затраты на арендные платежи) на оказание муниципальной услуги/выполнение работы</w:t>
            </w:r>
            <w:r w:rsidR="00994559">
              <w:rPr>
                <w:sz w:val="26"/>
                <w:szCs w:val="26"/>
              </w:rPr>
              <w:t>, руб.</w:t>
            </w:r>
          </w:p>
        </w:tc>
      </w:tr>
      <w:tr w:rsidR="002A222C" w:rsidRPr="00630584" w:rsidTr="002A222C">
        <w:trPr>
          <w:trHeight w:val="159"/>
        </w:trPr>
        <w:tc>
          <w:tcPr>
            <w:tcW w:w="709" w:type="dxa"/>
            <w:shd w:val="clear" w:color="auto" w:fill="FFFFFF" w:themeFill="background1"/>
          </w:tcPr>
          <w:p w:rsidR="002A222C" w:rsidRPr="00630584" w:rsidRDefault="002A222C" w:rsidP="00630584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2A222C" w:rsidRPr="005C6342" w:rsidRDefault="002A222C" w:rsidP="00DC4AA6">
            <w:pPr>
              <w:jc w:val="center"/>
              <w:rPr>
                <w:sz w:val="26"/>
                <w:szCs w:val="26"/>
              </w:rPr>
            </w:pPr>
            <w:r w:rsidRPr="005C6342">
              <w:rPr>
                <w:sz w:val="26"/>
                <w:szCs w:val="26"/>
              </w:rPr>
              <w:t>Подметание улиц и уборка снега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2A222C" w:rsidRPr="005C6342" w:rsidRDefault="002A222C" w:rsidP="00840BD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2A222C" w:rsidRPr="005C6342" w:rsidRDefault="002A222C" w:rsidP="00C339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C6342">
              <w:rPr>
                <w:sz w:val="22"/>
              </w:rPr>
              <w:t>751111Ф.99.0.АЯ38АА00000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A222C" w:rsidRPr="005C6342" w:rsidRDefault="002A222C" w:rsidP="00630584">
            <w:pPr>
              <w:jc w:val="center"/>
              <w:rPr>
                <w:sz w:val="26"/>
                <w:szCs w:val="26"/>
              </w:rPr>
            </w:pPr>
          </w:p>
          <w:p w:rsidR="002A222C" w:rsidRPr="005C6342" w:rsidRDefault="005C6342" w:rsidP="0063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15 500</w:t>
            </w:r>
            <w:r w:rsidR="003F3262" w:rsidRPr="005C6342">
              <w:rPr>
                <w:sz w:val="26"/>
                <w:szCs w:val="26"/>
              </w:rPr>
              <w:t xml:space="preserve"> 000 </w:t>
            </w:r>
          </w:p>
        </w:tc>
        <w:tc>
          <w:tcPr>
            <w:tcW w:w="1985" w:type="dxa"/>
            <w:shd w:val="clear" w:color="auto" w:fill="FFFFFF" w:themeFill="background1"/>
          </w:tcPr>
          <w:p w:rsidR="002A222C" w:rsidRPr="005C6342" w:rsidRDefault="002A222C" w:rsidP="00630584">
            <w:pPr>
              <w:jc w:val="center"/>
              <w:rPr>
                <w:sz w:val="26"/>
                <w:szCs w:val="26"/>
              </w:rPr>
            </w:pPr>
          </w:p>
          <w:p w:rsidR="002A222C" w:rsidRPr="005C6342" w:rsidRDefault="005C6342" w:rsidP="0063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7 144 000</w:t>
            </w:r>
          </w:p>
        </w:tc>
        <w:tc>
          <w:tcPr>
            <w:tcW w:w="1984" w:type="dxa"/>
            <w:shd w:val="clear" w:color="auto" w:fill="FFFFFF" w:themeFill="background1"/>
          </w:tcPr>
          <w:p w:rsidR="002A222C" w:rsidRPr="005C6342" w:rsidRDefault="002A222C" w:rsidP="00630584">
            <w:pPr>
              <w:jc w:val="center"/>
              <w:rPr>
                <w:sz w:val="26"/>
                <w:szCs w:val="26"/>
              </w:rPr>
            </w:pPr>
          </w:p>
          <w:p w:rsidR="002A222C" w:rsidRPr="005C6342" w:rsidRDefault="0061069B" w:rsidP="00630584">
            <w:pPr>
              <w:jc w:val="center"/>
              <w:rPr>
                <w:sz w:val="26"/>
                <w:szCs w:val="26"/>
              </w:rPr>
            </w:pPr>
            <w:r w:rsidRPr="005C6342">
              <w:rPr>
                <w:sz w:val="26"/>
                <w:szCs w:val="26"/>
              </w:rPr>
              <w:t>580 9</w:t>
            </w:r>
            <w:r w:rsidR="003F3262" w:rsidRPr="005C6342">
              <w:rPr>
                <w:sz w:val="26"/>
                <w:szCs w:val="26"/>
              </w:rPr>
              <w:t>00</w:t>
            </w:r>
          </w:p>
        </w:tc>
        <w:tc>
          <w:tcPr>
            <w:tcW w:w="4125" w:type="dxa"/>
            <w:shd w:val="clear" w:color="auto" w:fill="FFFFFF" w:themeFill="background1"/>
          </w:tcPr>
          <w:p w:rsidR="002A222C" w:rsidRPr="005C6342" w:rsidRDefault="002A222C" w:rsidP="00B54EC4">
            <w:pPr>
              <w:rPr>
                <w:sz w:val="26"/>
                <w:szCs w:val="26"/>
              </w:rPr>
            </w:pPr>
          </w:p>
          <w:p w:rsidR="002A222C" w:rsidRPr="005C6342" w:rsidRDefault="0098069B" w:rsidP="00B54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757 000</w:t>
            </w:r>
          </w:p>
        </w:tc>
      </w:tr>
      <w:tr w:rsidR="002A222C" w:rsidRPr="006509DF" w:rsidTr="002A222C">
        <w:trPr>
          <w:trHeight w:val="159"/>
        </w:trPr>
        <w:tc>
          <w:tcPr>
            <w:tcW w:w="709" w:type="dxa"/>
            <w:shd w:val="clear" w:color="auto" w:fill="FFFFFF" w:themeFill="background1"/>
          </w:tcPr>
          <w:p w:rsidR="002A222C" w:rsidRPr="006509DF" w:rsidRDefault="002A222C" w:rsidP="00630584">
            <w:pPr>
              <w:jc w:val="center"/>
              <w:rPr>
                <w:sz w:val="24"/>
                <w:szCs w:val="24"/>
              </w:rPr>
            </w:pPr>
            <w:r w:rsidRPr="006509D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A222C" w:rsidRPr="006509DF" w:rsidRDefault="006509DF" w:rsidP="006323F9">
            <w:pPr>
              <w:jc w:val="center"/>
              <w:rPr>
                <w:sz w:val="24"/>
                <w:szCs w:val="24"/>
                <w:lang w:eastAsia="en-US"/>
              </w:rPr>
            </w:pPr>
            <w:r w:rsidRPr="006509DF">
              <w:rPr>
                <w:sz w:val="24"/>
                <w:szCs w:val="24"/>
                <w:lang w:eastAsia="en-US"/>
              </w:rPr>
              <w:t xml:space="preserve">Культурно – массовые мероприятия (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509DF">
              <w:rPr>
                <w:sz w:val="24"/>
                <w:szCs w:val="24"/>
                <w:lang w:eastAsia="en-US"/>
              </w:rPr>
              <w:t xml:space="preserve">иная деятельность , в результате которой, сохраняются, создаются, распространяются и осваиваются  культурные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6509DF">
              <w:rPr>
                <w:sz w:val="24"/>
                <w:szCs w:val="24"/>
                <w:lang w:eastAsia="en-US"/>
              </w:rPr>
              <w:t>ценности )</w:t>
            </w:r>
          </w:p>
        </w:tc>
        <w:tc>
          <w:tcPr>
            <w:tcW w:w="2835" w:type="dxa"/>
            <w:shd w:val="clear" w:color="auto" w:fill="FFFFFF" w:themeFill="background1"/>
          </w:tcPr>
          <w:p w:rsidR="002A222C" w:rsidRPr="006509DF" w:rsidRDefault="002A2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2A222C" w:rsidRPr="006509DF" w:rsidRDefault="002A2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509DF">
              <w:rPr>
                <w:sz w:val="24"/>
                <w:szCs w:val="24"/>
                <w:lang w:eastAsia="en-US"/>
              </w:rPr>
              <w:t>341350006434130100107005100800000000000102101</w:t>
            </w:r>
          </w:p>
        </w:tc>
        <w:tc>
          <w:tcPr>
            <w:tcW w:w="1559" w:type="dxa"/>
            <w:shd w:val="clear" w:color="auto" w:fill="FFFFFF" w:themeFill="background1"/>
          </w:tcPr>
          <w:p w:rsidR="002A222C" w:rsidRPr="006509DF" w:rsidRDefault="00994559">
            <w:pPr>
              <w:rPr>
                <w:sz w:val="24"/>
                <w:szCs w:val="24"/>
                <w:lang w:eastAsia="en-US"/>
              </w:rPr>
            </w:pPr>
            <w:r w:rsidRPr="006509DF">
              <w:rPr>
                <w:sz w:val="24"/>
                <w:szCs w:val="24"/>
                <w:lang w:eastAsia="en-US"/>
              </w:rPr>
              <w:t xml:space="preserve"> 195 475,00</w:t>
            </w:r>
          </w:p>
        </w:tc>
        <w:tc>
          <w:tcPr>
            <w:tcW w:w="1985" w:type="dxa"/>
            <w:shd w:val="clear" w:color="auto" w:fill="FFFFFF" w:themeFill="background1"/>
          </w:tcPr>
          <w:p w:rsidR="002A222C" w:rsidRPr="006509DF" w:rsidRDefault="005C6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8 149 000</w:t>
            </w:r>
          </w:p>
        </w:tc>
        <w:tc>
          <w:tcPr>
            <w:tcW w:w="1984" w:type="dxa"/>
            <w:shd w:val="clear" w:color="auto" w:fill="FFFFFF" w:themeFill="background1"/>
          </w:tcPr>
          <w:p w:rsidR="002A222C" w:rsidRPr="006509DF" w:rsidRDefault="006668DE">
            <w:pPr>
              <w:jc w:val="center"/>
              <w:rPr>
                <w:sz w:val="24"/>
                <w:szCs w:val="24"/>
                <w:lang w:eastAsia="en-US"/>
              </w:rPr>
            </w:pPr>
            <w:r w:rsidRPr="006509DF">
              <w:rPr>
                <w:sz w:val="24"/>
                <w:szCs w:val="24"/>
                <w:lang w:eastAsia="en-US"/>
              </w:rPr>
              <w:t>548 700</w:t>
            </w:r>
          </w:p>
        </w:tc>
        <w:tc>
          <w:tcPr>
            <w:tcW w:w="4125" w:type="dxa"/>
            <w:shd w:val="clear" w:color="auto" w:fill="FFFFFF" w:themeFill="background1"/>
          </w:tcPr>
          <w:p w:rsidR="002A222C" w:rsidRPr="006509DF" w:rsidRDefault="00F72772">
            <w:pPr>
              <w:jc w:val="center"/>
              <w:rPr>
                <w:sz w:val="24"/>
                <w:szCs w:val="24"/>
                <w:lang w:eastAsia="en-US"/>
              </w:rPr>
            </w:pPr>
            <w:r w:rsidRPr="006509DF">
              <w:rPr>
                <w:sz w:val="24"/>
                <w:szCs w:val="24"/>
                <w:lang w:eastAsia="en-US"/>
              </w:rPr>
              <w:t>642 100</w:t>
            </w:r>
          </w:p>
        </w:tc>
      </w:tr>
    </w:tbl>
    <w:p w:rsidR="00917C26" w:rsidRPr="006509DF" w:rsidRDefault="00917C26" w:rsidP="00262F97">
      <w:pPr>
        <w:autoSpaceDE w:val="0"/>
        <w:autoSpaceDN w:val="0"/>
        <w:adjustRightInd w:val="0"/>
        <w:jc w:val="center"/>
        <w:rPr>
          <w:sz w:val="24"/>
        </w:rPr>
      </w:pPr>
    </w:p>
    <w:p w:rsidR="00917C26" w:rsidRPr="006509DF" w:rsidRDefault="00917C26" w:rsidP="00262F97">
      <w:pPr>
        <w:autoSpaceDE w:val="0"/>
        <w:autoSpaceDN w:val="0"/>
        <w:adjustRightInd w:val="0"/>
        <w:jc w:val="center"/>
        <w:rPr>
          <w:sz w:val="24"/>
        </w:rPr>
      </w:pPr>
    </w:p>
    <w:p w:rsidR="00917C26" w:rsidRDefault="00917C26" w:rsidP="00262F97">
      <w:pPr>
        <w:autoSpaceDE w:val="0"/>
        <w:autoSpaceDN w:val="0"/>
        <w:adjustRightInd w:val="0"/>
        <w:jc w:val="center"/>
      </w:pPr>
    </w:p>
    <w:p w:rsidR="00052820" w:rsidRDefault="00052820" w:rsidP="00262F97">
      <w:pPr>
        <w:autoSpaceDE w:val="0"/>
        <w:autoSpaceDN w:val="0"/>
        <w:adjustRightInd w:val="0"/>
        <w:jc w:val="center"/>
      </w:pPr>
    </w:p>
    <w:p w:rsidR="00052820" w:rsidRDefault="00052820" w:rsidP="00262F97">
      <w:pPr>
        <w:autoSpaceDE w:val="0"/>
        <w:autoSpaceDN w:val="0"/>
        <w:adjustRightInd w:val="0"/>
        <w:jc w:val="center"/>
      </w:pPr>
    </w:p>
    <w:p w:rsidR="00052820" w:rsidRDefault="00052820" w:rsidP="00262F97">
      <w:pPr>
        <w:autoSpaceDE w:val="0"/>
        <w:autoSpaceDN w:val="0"/>
        <w:adjustRightInd w:val="0"/>
        <w:jc w:val="center"/>
      </w:pPr>
    </w:p>
    <w:p w:rsidR="00701C36" w:rsidRDefault="00701C36" w:rsidP="00262F97">
      <w:pPr>
        <w:autoSpaceDE w:val="0"/>
        <w:autoSpaceDN w:val="0"/>
        <w:adjustRightInd w:val="0"/>
        <w:jc w:val="center"/>
      </w:pPr>
    </w:p>
    <w:p w:rsidR="00701C36" w:rsidRDefault="00701C36" w:rsidP="00262F97">
      <w:pPr>
        <w:autoSpaceDE w:val="0"/>
        <w:autoSpaceDN w:val="0"/>
        <w:adjustRightInd w:val="0"/>
        <w:jc w:val="center"/>
      </w:pPr>
    </w:p>
    <w:p w:rsidR="00262F97" w:rsidRDefault="00262F97" w:rsidP="00262F97">
      <w:pPr>
        <w:autoSpaceDE w:val="0"/>
        <w:autoSpaceDN w:val="0"/>
        <w:adjustRightInd w:val="0"/>
        <w:jc w:val="center"/>
      </w:pPr>
      <w:r>
        <w:t xml:space="preserve">Корректирующие коэффициенты к базовым нормативам затрат на оказание муниципальных услуг (выполнение работ) в отношении муниципальных учреждений Котельниковского муниципального района, </w:t>
      </w:r>
      <w:r w:rsidRPr="00780853">
        <w:t>учитывающ</w:t>
      </w:r>
      <w:r w:rsidR="006D7040">
        <w:t>ие отраслевые и территориальные</w:t>
      </w:r>
      <w:r w:rsidRPr="00780853">
        <w:t xml:space="preserve"> особенности оказания муниципальных услуг (выполнения работ)</w:t>
      </w:r>
    </w:p>
    <w:p w:rsidR="00262F97" w:rsidRDefault="00262F97" w:rsidP="00262F97">
      <w:pPr>
        <w:autoSpaceDE w:val="0"/>
        <w:autoSpaceDN w:val="0"/>
        <w:adjustRightInd w:val="0"/>
      </w:pPr>
    </w:p>
    <w:tbl>
      <w:tblPr>
        <w:tblStyle w:val="a5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61"/>
        <w:gridCol w:w="2693"/>
        <w:gridCol w:w="3969"/>
        <w:gridCol w:w="3969"/>
      </w:tblGrid>
      <w:tr w:rsidR="00630584" w:rsidRPr="00630584" w:rsidTr="00453D38">
        <w:trPr>
          <w:trHeight w:val="431"/>
        </w:trPr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0631" w:type="dxa"/>
            <w:gridSpan w:val="3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Значения коэффициентов</w:t>
            </w:r>
          </w:p>
        </w:tc>
      </w:tr>
      <w:tr w:rsidR="00630584" w:rsidRPr="00630584" w:rsidTr="00453D38"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Территориальный корректирующий коэффициент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Отраслевой корректирующий коэффициент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Коэффициент выравнивания</w:t>
            </w:r>
          </w:p>
        </w:tc>
      </w:tr>
      <w:tr w:rsidR="00630584" w:rsidRPr="00630584" w:rsidTr="00453D38"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30584" w:rsidRPr="00630584" w:rsidTr="00453D38">
        <w:tc>
          <w:tcPr>
            <w:tcW w:w="4961" w:type="dxa"/>
            <w:shd w:val="clear" w:color="auto" w:fill="FFFFFF" w:themeFill="background1"/>
          </w:tcPr>
          <w:p w:rsidR="00630584" w:rsidRPr="00630584" w:rsidRDefault="00630584" w:rsidP="00453D38">
            <w:pPr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Муниципальное бюджетное учрежден</w:t>
            </w:r>
            <w:r w:rsidR="00DC4AA6">
              <w:rPr>
                <w:sz w:val="26"/>
                <w:szCs w:val="26"/>
              </w:rPr>
              <w:t>ие «БЛАГОУСТРОЙСТВО»</w:t>
            </w:r>
          </w:p>
        </w:tc>
        <w:tc>
          <w:tcPr>
            <w:tcW w:w="2693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6305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58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630584" w:rsidRPr="00630584" w:rsidRDefault="00FA5F3A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412D13" w:rsidRPr="00630584" w:rsidTr="00453D38">
        <w:tc>
          <w:tcPr>
            <w:tcW w:w="4961" w:type="dxa"/>
            <w:shd w:val="clear" w:color="auto" w:fill="FFFFFF" w:themeFill="background1"/>
          </w:tcPr>
          <w:p w:rsidR="007B0F00" w:rsidRDefault="007B0F00" w:rsidP="00453D38">
            <w:pPr>
              <w:jc w:val="center"/>
              <w:rPr>
                <w:sz w:val="26"/>
                <w:szCs w:val="26"/>
              </w:rPr>
            </w:pPr>
            <w:r w:rsidRPr="007B0F00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>тное учреждение</w:t>
            </w:r>
          </w:p>
          <w:p w:rsidR="00412D13" w:rsidRPr="00630584" w:rsidRDefault="007B0F00" w:rsidP="00453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Дом Культуры</w:t>
            </w:r>
            <w:r w:rsidRPr="007B0F00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412D13" w:rsidRPr="00630584" w:rsidRDefault="007B0F00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412D13" w:rsidRPr="00630584" w:rsidRDefault="007B0F00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412D13" w:rsidRDefault="00AA1F84" w:rsidP="006305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F84">
              <w:rPr>
                <w:sz w:val="26"/>
                <w:szCs w:val="26"/>
              </w:rPr>
              <w:t>1,007901</w:t>
            </w:r>
          </w:p>
        </w:tc>
      </w:tr>
    </w:tbl>
    <w:p w:rsidR="00262F97" w:rsidRPr="00630584" w:rsidRDefault="00262F97" w:rsidP="00EE06F9">
      <w:pPr>
        <w:jc w:val="center"/>
        <w:rPr>
          <w:sz w:val="26"/>
          <w:szCs w:val="26"/>
        </w:rPr>
      </w:pPr>
    </w:p>
    <w:p w:rsidR="00262F97" w:rsidRPr="00E43132" w:rsidRDefault="00262F97" w:rsidP="00EE06F9">
      <w:pPr>
        <w:jc w:val="center"/>
        <w:rPr>
          <w:sz w:val="26"/>
          <w:szCs w:val="26"/>
        </w:rPr>
      </w:pPr>
    </w:p>
    <w:sectPr w:rsidR="00262F97" w:rsidRPr="00E43132" w:rsidSect="00917C26">
      <w:pgSz w:w="16838" w:h="11906" w:orient="landscape"/>
      <w:pgMar w:top="289" w:right="425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1FF"/>
    <w:multiLevelType w:val="hybridMultilevel"/>
    <w:tmpl w:val="0262CD6A"/>
    <w:lvl w:ilvl="0" w:tplc="926CAB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02B7F"/>
    <w:multiLevelType w:val="multilevel"/>
    <w:tmpl w:val="D5640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9AE2456"/>
    <w:multiLevelType w:val="singleLevel"/>
    <w:tmpl w:val="99AA790E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</w:lvl>
  </w:abstractNum>
  <w:abstractNum w:abstractNumId="3" w15:restartNumberingAfterBreak="0">
    <w:nsid w:val="6E7E1CA7"/>
    <w:multiLevelType w:val="multilevel"/>
    <w:tmpl w:val="63BEEC6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00" w:hanging="720"/>
      </w:p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3120" w:hanging="108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840" w:hanging="144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560" w:hanging="180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2A3"/>
    <w:rsid w:val="00012DAD"/>
    <w:rsid w:val="00052820"/>
    <w:rsid w:val="000A7DB5"/>
    <w:rsid w:val="000B6D6E"/>
    <w:rsid w:val="001054F0"/>
    <w:rsid w:val="00126CFE"/>
    <w:rsid w:val="00180918"/>
    <w:rsid w:val="001A0551"/>
    <w:rsid w:val="002150CE"/>
    <w:rsid w:val="002304DA"/>
    <w:rsid w:val="00262F97"/>
    <w:rsid w:val="0027364E"/>
    <w:rsid w:val="002768EA"/>
    <w:rsid w:val="002A222C"/>
    <w:rsid w:val="002A79D0"/>
    <w:rsid w:val="002C2488"/>
    <w:rsid w:val="002D1E9E"/>
    <w:rsid w:val="002E42D0"/>
    <w:rsid w:val="003872A3"/>
    <w:rsid w:val="003C0C1D"/>
    <w:rsid w:val="003F3262"/>
    <w:rsid w:val="00412D13"/>
    <w:rsid w:val="004178DB"/>
    <w:rsid w:val="0042489F"/>
    <w:rsid w:val="004302DE"/>
    <w:rsid w:val="00446C04"/>
    <w:rsid w:val="00453D38"/>
    <w:rsid w:val="00462041"/>
    <w:rsid w:val="004B2859"/>
    <w:rsid w:val="004B69D1"/>
    <w:rsid w:val="0051322C"/>
    <w:rsid w:val="0058108B"/>
    <w:rsid w:val="005C51E8"/>
    <w:rsid w:val="005C6342"/>
    <w:rsid w:val="0061069B"/>
    <w:rsid w:val="00630584"/>
    <w:rsid w:val="006323F9"/>
    <w:rsid w:val="006428A8"/>
    <w:rsid w:val="006509DF"/>
    <w:rsid w:val="006668DE"/>
    <w:rsid w:val="00675F74"/>
    <w:rsid w:val="00685BFC"/>
    <w:rsid w:val="006D7040"/>
    <w:rsid w:val="006E52DB"/>
    <w:rsid w:val="006F4119"/>
    <w:rsid w:val="00701C36"/>
    <w:rsid w:val="00704162"/>
    <w:rsid w:val="00735C34"/>
    <w:rsid w:val="007803BC"/>
    <w:rsid w:val="007931FF"/>
    <w:rsid w:val="007B0F00"/>
    <w:rsid w:val="00802884"/>
    <w:rsid w:val="00811372"/>
    <w:rsid w:val="00840BD8"/>
    <w:rsid w:val="0085103C"/>
    <w:rsid w:val="00886113"/>
    <w:rsid w:val="009015AB"/>
    <w:rsid w:val="00917C26"/>
    <w:rsid w:val="009635E4"/>
    <w:rsid w:val="0098069B"/>
    <w:rsid w:val="009828AB"/>
    <w:rsid w:val="0099184A"/>
    <w:rsid w:val="00994559"/>
    <w:rsid w:val="009C1B86"/>
    <w:rsid w:val="009D34DD"/>
    <w:rsid w:val="009D4729"/>
    <w:rsid w:val="009E37C2"/>
    <w:rsid w:val="009E6531"/>
    <w:rsid w:val="00A01164"/>
    <w:rsid w:val="00A0195E"/>
    <w:rsid w:val="00A0672E"/>
    <w:rsid w:val="00A16107"/>
    <w:rsid w:val="00A3751A"/>
    <w:rsid w:val="00A4721A"/>
    <w:rsid w:val="00A57A71"/>
    <w:rsid w:val="00A6482F"/>
    <w:rsid w:val="00AA1F84"/>
    <w:rsid w:val="00B21295"/>
    <w:rsid w:val="00B37208"/>
    <w:rsid w:val="00B54EC4"/>
    <w:rsid w:val="00B80066"/>
    <w:rsid w:val="00BA04A2"/>
    <w:rsid w:val="00BC25FE"/>
    <w:rsid w:val="00C339A7"/>
    <w:rsid w:val="00C368E5"/>
    <w:rsid w:val="00C80083"/>
    <w:rsid w:val="00C92C2C"/>
    <w:rsid w:val="00CA46CD"/>
    <w:rsid w:val="00CD6F55"/>
    <w:rsid w:val="00CF3B7B"/>
    <w:rsid w:val="00D07F28"/>
    <w:rsid w:val="00D42B9C"/>
    <w:rsid w:val="00D86514"/>
    <w:rsid w:val="00D97DE5"/>
    <w:rsid w:val="00DB0A79"/>
    <w:rsid w:val="00DB5848"/>
    <w:rsid w:val="00DC0B3E"/>
    <w:rsid w:val="00DC4AA6"/>
    <w:rsid w:val="00E0008A"/>
    <w:rsid w:val="00E43132"/>
    <w:rsid w:val="00E45A59"/>
    <w:rsid w:val="00E56905"/>
    <w:rsid w:val="00E57E0D"/>
    <w:rsid w:val="00EB4ABF"/>
    <w:rsid w:val="00EE06F9"/>
    <w:rsid w:val="00F573BB"/>
    <w:rsid w:val="00F72772"/>
    <w:rsid w:val="00FA5F3A"/>
    <w:rsid w:val="00FC3422"/>
    <w:rsid w:val="00FD5527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51B0"/>
  <w15:docId w15:val="{9F2ABD9C-1AB2-48DD-B736-7028955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1054F0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05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054F0"/>
    <w:pPr>
      <w:spacing w:after="120"/>
      <w:ind w:firstLine="705"/>
      <w:jc w:val="both"/>
    </w:pPr>
    <w:rPr>
      <w:kern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054F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31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3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Стиль"/>
    <w:rsid w:val="00E431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431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2768EA"/>
    <w:pPr>
      <w:jc w:val="center"/>
    </w:pPr>
    <w:rPr>
      <w:b/>
      <w:noProof/>
      <w:sz w:val="26"/>
      <w:szCs w:val="20"/>
    </w:rPr>
  </w:style>
  <w:style w:type="paragraph" w:styleId="ac">
    <w:name w:val="List Paragraph"/>
    <w:basedOn w:val="a"/>
    <w:uiPriority w:val="34"/>
    <w:qFormat/>
    <w:rsid w:val="00AA1F84"/>
    <w:pPr>
      <w:ind w:left="720"/>
      <w:contextualSpacing/>
    </w:pPr>
  </w:style>
  <w:style w:type="paragraph" w:styleId="ad">
    <w:name w:val="No Spacing"/>
    <w:uiPriority w:val="1"/>
    <w:qFormat/>
    <w:rsid w:val="006E5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7BB4-7AC9-4BA7-A11A-C3677D1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116</cp:revision>
  <cp:lastPrinted>2022-01-13T07:32:00Z</cp:lastPrinted>
  <dcterms:created xsi:type="dcterms:W3CDTF">2018-02-01T12:45:00Z</dcterms:created>
  <dcterms:modified xsi:type="dcterms:W3CDTF">2022-01-13T07:32:00Z</dcterms:modified>
</cp:coreProperties>
</file>